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pageBreakBefore w:val="0"/>
        <w:widowControl w:val="0"/>
        <w:kinsoku/>
        <w:wordWrap/>
        <w:topLinePunct w:val="0"/>
        <w:autoSpaceDE/>
        <w:autoSpaceDN/>
        <w:bidi w:val="0"/>
        <w:spacing w:beforeLines="0"/>
        <w:ind w:left="0" w:leftChars="0"/>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06267"/>
      <w:bookmarkStart w:id="1" w:name="_Toc15396597"/>
      <w:bookmarkStart w:id="2" w:name="_Toc15396475"/>
      <w:bookmarkStart w:id="3" w:name="_Toc15377425"/>
      <w:bookmarkStart w:id="4" w:name="_Toc15377193"/>
      <w:bookmarkStart w:id="5" w:name="_Toc15378441"/>
    </w:p>
    <w:p>
      <w:pPr>
        <w:pStyle w:val="6"/>
        <w:pageBreakBefore w:val="0"/>
        <w:widowControl w:val="0"/>
        <w:kinsoku/>
        <w:wordWrap/>
        <w:topLinePunct w:val="0"/>
        <w:autoSpaceDE/>
        <w:autoSpaceDN/>
        <w:bidi w:val="0"/>
        <w:spacing w:beforeLines="0"/>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pPr>
        <w:pStyle w:val="6"/>
        <w:pageBreakBefore w:val="0"/>
        <w:widowControl w:val="0"/>
        <w:kinsoku/>
        <w:wordWrap/>
        <w:topLinePunct w:val="0"/>
        <w:autoSpaceDE/>
        <w:autoSpaceDN/>
        <w:bidi w:val="0"/>
        <w:spacing w:beforeLines="0"/>
        <w:ind w:left="0" w:leftChars="0"/>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77426"/>
      <w:bookmarkStart w:id="8" w:name="_Toc15378442"/>
      <w:bookmarkStart w:id="9" w:name="_Toc15377194"/>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Start w:id="11" w:name="_Toc15306268"/>
      <w:r>
        <w:rPr>
          <w:rFonts w:hint="eastAsia" w:ascii="Times New Roman" w:eastAsia="方正小标宋简体" w:cs="Times New Roman"/>
          <w:color w:val="auto"/>
          <w:kern w:val="2"/>
          <w:sz w:val="44"/>
          <w:szCs w:val="44"/>
          <w:highlight w:val="none"/>
          <w:lang w:val="en-US" w:eastAsia="zh-CN" w:bidi="ar-SA"/>
        </w:rPr>
        <w:t>遂宁市妇女联合会</w:t>
      </w:r>
    </w:p>
    <w:p>
      <w:pPr>
        <w:pStyle w:val="6"/>
        <w:pageBreakBefore w:val="0"/>
        <w:widowControl w:val="0"/>
        <w:kinsoku/>
        <w:wordWrap/>
        <w:topLinePunct w:val="0"/>
        <w:autoSpaceDE/>
        <w:autoSpaceDN/>
        <w:bidi w:val="0"/>
        <w:spacing w:beforeLines="0"/>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pageBreakBefore w:val="0"/>
        <w:widowControl w:val="0"/>
        <w:kinsoku/>
        <w:wordWrap/>
        <w:topLinePunct w:val="0"/>
        <w:autoSpaceDE/>
        <w:autoSpaceDN/>
        <w:bidi w:val="0"/>
        <w:ind w:left="0" w:leftChars="0"/>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pageBreakBefore w:val="0"/>
        <w:widowControl w:val="0"/>
        <w:kinsoku/>
        <w:wordWrap/>
        <w:topLinePunct w:val="0"/>
        <w:autoSpaceDE/>
        <w:autoSpaceDN/>
        <w:bidi w:val="0"/>
        <w:ind w:left="0" w:leftChars="0"/>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pPr>
        <w:pStyle w:val="14"/>
        <w:pageBreakBefore w:val="0"/>
        <w:widowControl w:val="0"/>
        <w:kinsoku/>
        <w:wordWrap/>
        <w:topLinePunct w:val="0"/>
        <w:autoSpaceDE/>
        <w:autoSpaceDN/>
        <w:bidi w:val="0"/>
        <w:spacing w:before="0"/>
        <w:ind w:left="0" w:leftChars="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18 </w:t>
      </w:r>
      <w:r>
        <w:rPr>
          <w:rFonts w:hint="eastAsia" w:ascii="Times New Roman" w:hAnsi="Times New Roman" w:eastAsia="仿宋_GB2312" w:cs="仿宋_GB2312"/>
          <w:color w:val="auto"/>
          <w:sz w:val="32"/>
          <w:szCs w:val="32"/>
          <w:highlight w:val="none"/>
        </w:rPr>
        <w:t>日</w:t>
      </w:r>
    </w:p>
    <w:p>
      <w:pPr>
        <w:pageBreakBefore w:val="0"/>
        <w:widowControl w:val="0"/>
        <w:kinsoku/>
        <w:wordWrap/>
        <w:topLinePunct w:val="0"/>
        <w:autoSpaceDE/>
        <w:autoSpaceDN/>
        <w:bidi w:val="0"/>
        <w:ind w:left="0" w:leftChars="0"/>
        <w:rPr>
          <w:rFonts w:ascii="Times New Roman" w:hAnsi="Times New Roman"/>
          <w:color w:val="auto"/>
          <w:highlight w:val="none"/>
        </w:rPr>
      </w:pPr>
    </w:p>
    <w:p>
      <w:pPr>
        <w:pStyle w:val="14"/>
        <w:keepNext w:val="0"/>
        <w:keepLines w:val="0"/>
        <w:pageBreakBefore w:val="0"/>
        <w:widowControl w:val="0"/>
        <w:kinsoku/>
        <w:wordWrap/>
        <w:overflowPunct/>
        <w:topLinePunct w:val="0"/>
        <w:autoSpaceDE/>
        <w:autoSpaceDN/>
        <w:bidi w:val="0"/>
        <w:adjustRightInd w:val="0"/>
        <w:snapToGrid w:val="0"/>
        <w:spacing w:before="0" w:line="560" w:lineRule="exact"/>
        <w:ind w:left="0" w:left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4"/>
        <w:keepNext w:val="0"/>
        <w:keepLines w:val="0"/>
        <w:pageBreakBefore w:val="0"/>
        <w:widowControl w:val="0"/>
        <w:kinsoku/>
        <w:wordWrap/>
        <w:overflowPunct/>
        <w:topLinePunct w:val="0"/>
        <w:autoSpaceDE/>
        <w:autoSpaceDN/>
        <w:bidi w:val="0"/>
        <w:adjustRightInd w:val="0"/>
        <w:snapToGrid w:val="0"/>
        <w:spacing w:before="0" w:line="560" w:lineRule="exact"/>
        <w:ind w:left="0" w:left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4"/>
        <w:keepNext w:val="0"/>
        <w:keepLines w:val="0"/>
        <w:pageBreakBefore w:val="0"/>
        <w:widowControl w:val="0"/>
        <w:kinsoku/>
        <w:wordWrap/>
        <w:overflowPunct/>
        <w:topLinePunct w:val="0"/>
        <w:autoSpaceDE/>
        <w:autoSpaceDN/>
        <w:bidi w:val="0"/>
        <w:adjustRightInd w:val="0"/>
        <w:snapToGrid w:val="0"/>
        <w:spacing w:before="0" w:line="560" w:lineRule="exact"/>
        <w:ind w:left="0" w:left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4"/>
        <w:keepNext w:val="0"/>
        <w:keepLines w:val="0"/>
        <w:pageBreakBefore w:val="0"/>
        <w:widowControl w:val="0"/>
        <w:kinsoku/>
        <w:wordWrap/>
        <w:overflowPunct/>
        <w:topLinePunct w:val="0"/>
        <w:autoSpaceDE/>
        <w:autoSpaceDN/>
        <w:bidi w:val="0"/>
        <w:adjustRightInd w:val="0"/>
        <w:snapToGrid w:val="0"/>
        <w:spacing w:before="0" w:line="560" w:lineRule="exact"/>
        <w:ind w:left="0" w:left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4"/>
        <w:keepNext w:val="0"/>
        <w:keepLines w:val="0"/>
        <w:pageBreakBefore w:val="0"/>
        <w:widowControl w:val="0"/>
        <w:kinsoku/>
        <w:wordWrap/>
        <w:overflowPunct/>
        <w:topLinePunct w:val="0"/>
        <w:autoSpaceDE/>
        <w:autoSpaceDN/>
        <w:bidi w:val="0"/>
        <w:adjustRightInd w:val="0"/>
        <w:snapToGrid w:val="0"/>
        <w:spacing w:before="0" w:line="560" w:lineRule="exact"/>
        <w:ind w:left="0" w:left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val="0"/>
        <w:kinsoku/>
        <w:wordWrap/>
        <w:overflowPunct/>
        <w:topLinePunct w:val="0"/>
        <w:autoSpaceDE/>
        <w:autoSpaceDN/>
        <w:bidi w:val="0"/>
        <w:spacing w:line="560" w:lineRule="exact"/>
        <w:ind w:left="0" w:leftChars="0"/>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pPr>
        <w:pStyle w:val="3"/>
        <w:pageBreakBefore w:val="0"/>
        <w:widowControl w:val="0"/>
        <w:kinsoku/>
        <w:wordWrap/>
        <w:topLinePunct w:val="0"/>
        <w:autoSpaceDE/>
        <w:autoSpaceDN/>
        <w:bidi w:val="0"/>
        <w:spacing w:before="0" w:after="0"/>
        <w:ind w:left="0" w:leftChars="0"/>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ascii="Times New Roman" w:hAnsi="Times New Roman" w:eastAsia="方正小标宋简体" w:cs="方正小标宋简体"/>
          <w:b w:val="0"/>
          <w:bCs w:val="0"/>
          <w:color w:val="auto"/>
          <w:highlight w:val="none"/>
        </w:rPr>
        <w:t>部门概况</w:t>
      </w:r>
      <w:bookmarkEnd w:id="12"/>
      <w:bookmarkEnd w:id="13"/>
    </w:p>
    <w:p>
      <w:pPr>
        <w:pStyle w:val="4"/>
        <w:pageBreakBefore w:val="0"/>
        <w:widowControl w:val="0"/>
        <w:numPr>
          <w:ilvl w:val="0"/>
          <w:numId w:val="0"/>
        </w:numPr>
        <w:kinsoku/>
        <w:wordWrap/>
        <w:topLinePunct w:val="0"/>
        <w:autoSpaceDE/>
        <w:autoSpaceDN/>
        <w:bidi w:val="0"/>
        <w:spacing w:before="0" w:after="0"/>
        <w:ind w:left="0" w:leftChars="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 xml:space="preserve">     一、</w:t>
      </w:r>
      <w:r>
        <w:rPr>
          <w:rFonts w:hint="eastAsia" w:ascii="Times New Roman" w:hAnsi="Times New Roman" w:eastAsia="黑体"/>
          <w:b w:val="0"/>
          <w:color w:val="auto"/>
          <w:highlight w:val="none"/>
          <w:lang w:eastAsia="zh-CN"/>
        </w:rPr>
        <w:t>部门职责</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（一）组织引导广大妇女学习贯彻习近平新时代中国特色社会主义思想和党的路线方针政策，用中国特色社会主义共同理想凝聚妇女。</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（二）团结动员广大妇女投身改革开放和社会主义经济建设、政治建设、文化建设、社会建设、生态文明建设，注重发挥妇女在社会生活和家庭生活中的独特作用，为强国建设、民族复兴作贡献。</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代表全市妇女参与管理国家事务、管理经济和文化事业、管理社会事务，参与民主协商、民主决策、民主管理、民主监督，参与有关地方性法规、规章和政策的制定，参与社会治理和公共服务，推动保障妇女权益法律政策和妇女、儿童发展纲要的实施。</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（四）维护妇女儿童合法权益，倾听妇女意见，反映妇女诉求，向有关部门提出建议，要求并协助有关部门查处侵害妇女儿童权益的行为，为受侵害的妇女儿童提供帮助。</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教育引导广大妇女树立自尊、自信、自立、自强的精神，提高综合素质，实现全面发展。宣传马克思主义妇女观，推动落实男女平等基本国策，营造尊重和关爱妇女、有利于妇女全面发展的社会环境。宣传优秀妇女典型，培养、推荐女性人才。</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教育引导广大妇女践行社会主义核心价值观，弘扬中华民族家庭美德，带动家庭成员建设文明家庭、实施科学家教、传承优良家风，发挥家庭家教家风在基层社会治理中的重要作用，推动形成社会主义家庭文明新风尚。</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关心妇女工作生活，拓展服务渠道，创新服务方式，建设服务阵地，发展公益事业，壮大巾帼志愿者队伍，加强妇女之家建设。联系和引导女性社会组织，加强与社会各界的协作，推动全社会为妇女儿童和家庭服务。</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（八）团结全市各族各界妇女，加强同香港、澳门特别行政区和台湾地区及海外侨胞妇女联谊。积极发展同国外妇女和妇女组织友好交往，增进了解和友谊，加强合作，推动构建人类命运共同体。</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（九）指导各级妇联，依据《中华全国妇女联合会章程》和市妇女代表大会的工作部署，开展妇女儿童工作。</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（十）承担市政府妇女儿童工作委员会的日常工作。</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（十一）完成市委、市政府交办的其他任务。</w:t>
      </w:r>
    </w:p>
    <w:p>
      <w:pPr>
        <w:pStyle w:val="4"/>
        <w:pageBreakBefore w:val="0"/>
        <w:widowControl w:val="0"/>
        <w:kinsoku/>
        <w:wordWrap/>
        <w:topLinePunct w:val="0"/>
        <w:autoSpaceDE/>
        <w:autoSpaceDN/>
        <w:bidi w:val="0"/>
        <w:spacing w:before="0" w:after="0"/>
        <w:ind w:left="0" w:leftChars="0" w:firstLine="640" w:firstLineChars="200"/>
        <w:rPr>
          <w:rStyle w:val="33"/>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14"/>
      <w:bookmarkEnd w:id="15"/>
    </w:p>
    <w:p>
      <w:pPr>
        <w:pageBreakBefore w:val="0"/>
        <w:widowControl w:val="0"/>
        <w:kinsoku/>
        <w:wordWrap/>
        <w:topLinePunct w:val="0"/>
        <w:autoSpaceDE/>
        <w:autoSpaceDN/>
        <w:bidi w:val="0"/>
        <w:ind w:left="0" w:leftChars="0" w:firstLine="640" w:firstLineChars="200"/>
        <w:jc w:val="left"/>
        <w:rPr>
          <w:rFonts w:hint="eastAsia"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遂宁市妇女联合会</w:t>
      </w:r>
      <w:r>
        <w:rPr>
          <w:rFonts w:hint="eastAsia" w:ascii="仿宋_GB2312" w:hAnsi="仿宋_GB2312" w:eastAsia="仿宋_GB2312" w:cs="仿宋_GB2312"/>
          <w:color w:val="auto"/>
          <w:sz w:val="32"/>
          <w:szCs w:val="32"/>
          <w:highlight w:val="none"/>
          <w:lang w:val="en-US" w:eastAsia="zh-CN"/>
        </w:rPr>
        <w:t>无</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eastAsia="zh-CN"/>
        </w:rPr>
        <w:t>。</w:t>
      </w:r>
      <w:bookmarkStart w:id="16" w:name="_Toc15396602"/>
      <w:bookmarkStart w:id="17" w:name="_Toc15377204"/>
    </w:p>
    <w:p>
      <w:pPr>
        <w:pStyle w:val="2"/>
        <w:pageBreakBefore w:val="0"/>
        <w:widowControl w:val="0"/>
        <w:kinsoku/>
        <w:wordWrap/>
        <w:topLinePunct w:val="0"/>
        <w:autoSpaceDE/>
        <w:autoSpaceDN/>
        <w:bidi w:val="0"/>
        <w:spacing w:after="0"/>
        <w:ind w:left="0" w:leftChars="0"/>
        <w:rPr>
          <w:rFonts w:hint="eastAsia" w:eastAsia="仿宋_GB2312" w:cs="仿宋_GB2312"/>
          <w:color w:val="auto"/>
          <w:sz w:val="32"/>
          <w:szCs w:val="32"/>
          <w:highlight w:val="none"/>
          <w:lang w:eastAsia="zh-CN"/>
        </w:rPr>
      </w:pPr>
    </w:p>
    <w:p>
      <w:pPr>
        <w:pageBreakBefore w:val="0"/>
        <w:widowControl w:val="0"/>
        <w:kinsoku/>
        <w:wordWrap/>
        <w:topLinePunct w:val="0"/>
        <w:autoSpaceDE/>
        <w:autoSpaceDN/>
        <w:bidi w:val="0"/>
        <w:ind w:left="0" w:leftChars="0"/>
        <w:rPr>
          <w:rFonts w:hint="eastAsia" w:eastAsia="仿宋_GB2312" w:cs="仿宋_GB2312"/>
          <w:color w:val="auto"/>
          <w:sz w:val="32"/>
          <w:szCs w:val="32"/>
          <w:highlight w:val="none"/>
          <w:lang w:eastAsia="zh-CN"/>
        </w:rPr>
      </w:pPr>
    </w:p>
    <w:p>
      <w:pPr>
        <w:pStyle w:val="2"/>
        <w:pageBreakBefore w:val="0"/>
        <w:widowControl w:val="0"/>
        <w:kinsoku/>
        <w:wordWrap/>
        <w:topLinePunct w:val="0"/>
        <w:autoSpaceDE/>
        <w:autoSpaceDN/>
        <w:bidi w:val="0"/>
        <w:spacing w:after="0"/>
        <w:ind w:left="0" w:leftChars="0"/>
        <w:rPr>
          <w:rFonts w:hint="eastAsia" w:eastAsia="仿宋_GB2312" w:cs="仿宋_GB2312"/>
          <w:color w:val="auto"/>
          <w:sz w:val="32"/>
          <w:szCs w:val="32"/>
          <w:highlight w:val="none"/>
          <w:lang w:eastAsia="zh-CN"/>
        </w:rPr>
      </w:pPr>
    </w:p>
    <w:p>
      <w:pPr>
        <w:pageBreakBefore w:val="0"/>
        <w:widowControl w:val="0"/>
        <w:kinsoku/>
        <w:wordWrap/>
        <w:topLinePunct w:val="0"/>
        <w:autoSpaceDE/>
        <w:autoSpaceDN/>
        <w:bidi w:val="0"/>
        <w:ind w:left="0" w:leftChars="0"/>
        <w:rPr>
          <w:rFonts w:hint="eastAsia" w:eastAsia="仿宋_GB2312" w:cs="仿宋_GB2312"/>
          <w:color w:val="auto"/>
          <w:sz w:val="32"/>
          <w:szCs w:val="32"/>
          <w:highlight w:val="none"/>
          <w:lang w:eastAsia="zh-CN"/>
        </w:rPr>
      </w:pPr>
    </w:p>
    <w:p>
      <w:pPr>
        <w:pStyle w:val="2"/>
        <w:pageBreakBefore w:val="0"/>
        <w:widowControl w:val="0"/>
        <w:kinsoku/>
        <w:wordWrap/>
        <w:topLinePunct w:val="0"/>
        <w:autoSpaceDE/>
        <w:autoSpaceDN/>
        <w:bidi w:val="0"/>
        <w:spacing w:after="0"/>
        <w:ind w:left="0" w:leftChars="0"/>
        <w:rPr>
          <w:rFonts w:hint="eastAsia" w:eastAsia="仿宋_GB2312" w:cs="仿宋_GB2312"/>
          <w:color w:val="auto"/>
          <w:sz w:val="32"/>
          <w:szCs w:val="32"/>
          <w:highlight w:val="none"/>
          <w:lang w:eastAsia="zh-CN"/>
        </w:rPr>
      </w:pPr>
    </w:p>
    <w:p>
      <w:pPr>
        <w:pageBreakBefore w:val="0"/>
        <w:widowControl w:val="0"/>
        <w:kinsoku/>
        <w:wordWrap/>
        <w:topLinePunct w:val="0"/>
        <w:autoSpaceDE/>
        <w:autoSpaceDN/>
        <w:bidi w:val="0"/>
        <w:ind w:left="0" w:leftChars="0"/>
        <w:rPr>
          <w:rFonts w:hint="eastAsia" w:eastAsia="仿宋_GB2312" w:cs="仿宋_GB2312"/>
          <w:color w:val="auto"/>
          <w:sz w:val="32"/>
          <w:szCs w:val="32"/>
          <w:highlight w:val="none"/>
          <w:lang w:eastAsia="zh-CN"/>
        </w:rPr>
      </w:pPr>
    </w:p>
    <w:p>
      <w:pPr>
        <w:pStyle w:val="3"/>
        <w:pageBreakBefore w:val="0"/>
        <w:widowControl w:val="0"/>
        <w:kinsoku/>
        <w:wordWrap/>
        <w:topLinePunct w:val="0"/>
        <w:autoSpaceDE/>
        <w:autoSpaceDN/>
        <w:bidi w:val="0"/>
        <w:spacing w:before="0" w:after="0"/>
        <w:ind w:left="0" w:leftChars="0"/>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pPr>
        <w:pageBreakBefore w:val="0"/>
        <w:widowControl w:val="0"/>
        <w:kinsoku/>
        <w:wordWrap/>
        <w:topLinePunct w:val="0"/>
        <w:autoSpaceDE/>
        <w:autoSpaceDN/>
        <w:bidi w:val="0"/>
        <w:ind w:left="0" w:leftChars="0"/>
        <w:rPr>
          <w:rFonts w:ascii="Times New Roman" w:hAnsi="Times New Roman"/>
          <w:color w:val="auto"/>
          <w:highlight w:val="none"/>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Style w:val="33"/>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18"/>
      <w:bookmarkEnd w:id="19"/>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rPr>
        <w:t>642.2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6.86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本年项目收支有所增加。</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Times New Roman" w:hAnsi="Times New Roman" w:eastAsia="仿宋_GB2312" w:cs="仿宋_GB2312"/>
          <w:color w:val="auto"/>
          <w:sz w:val="32"/>
          <w:szCs w:val="32"/>
          <w:highlight w:val="none"/>
        </w:rPr>
      </w:pPr>
      <w:r>
        <w:rPr>
          <w:rFonts w:ascii="仿宋_GB2312" w:eastAsia="仿宋_GB2312"/>
          <w:b w:val="0"/>
          <w:bCs w:val="0"/>
          <w:color w:val="auto"/>
          <w:sz w:val="32"/>
          <w:szCs w:val="32"/>
          <w:highlight w:val="none"/>
        </w:rPr>
        <w:pict>
          <v:shape id="对象 9" o:spid="_x0000_s1026" o:spt="75" type="#_x0000_t75" style="position:absolute;left:0pt;margin-left:9.9pt;margin-top:2.4pt;height:160.8pt;width:395.65pt;z-index:251659264;mso-width-relative:page;mso-height-relative:page;" o:ole="t" filled="f" o:preferrelative="t" stroked="f" coordsize="21600,21600">
            <v:path/>
            <v:fill on="f" focussize="0,0"/>
            <v:stroke on="f"/>
            <v:imagedata r:id="rId10" o:title=""/>
            <o:lock v:ext="edit" aspectratio="t"/>
          </v:shape>
          <o:OLEObject Type="Embed" ProgID="Excel.Sheet.12" ShapeID="对象 9" DrawAspect="Content" ObjectID="_1468075725" r:id="rId9">
            <o:LockedField>false</o:LockedField>
          </o:OLEObject>
        </w:pict>
      </w: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sz w:val="32"/>
          <w:szCs w:val="32"/>
          <w:highlight w:val="none"/>
        </w:rPr>
      </w:pPr>
    </w:p>
    <w:p>
      <w:pPr>
        <w:pageBreakBefore w:val="0"/>
        <w:widowControl w:val="0"/>
        <w:kinsoku/>
        <w:wordWrap/>
        <w:topLinePunct w:val="0"/>
        <w:autoSpaceDE/>
        <w:autoSpaceDN/>
        <w:bidi w:val="0"/>
        <w:ind w:left="0" w:leftChars="0"/>
        <w:rPr>
          <w:rFonts w:hint="eastAsia" w:ascii="Times New Roman" w:hAnsi="Times New Roman" w:eastAsia="仿宋_GB2312" w:cs="仿宋_GB2312"/>
          <w:color w:val="auto"/>
          <w:sz w:val="32"/>
          <w:szCs w:val="32"/>
          <w:highlight w:val="none"/>
        </w:rPr>
      </w:pP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sz w:val="32"/>
          <w:szCs w:val="32"/>
          <w:highlight w:val="none"/>
        </w:rPr>
      </w:pPr>
    </w:p>
    <w:p>
      <w:pPr>
        <w:pageBreakBefore w:val="0"/>
        <w:widowControl w:val="0"/>
        <w:kinsoku/>
        <w:wordWrap/>
        <w:topLinePunct w:val="0"/>
        <w:autoSpaceDE/>
        <w:autoSpaceDN/>
        <w:bidi w:val="0"/>
        <w:ind w:left="0" w:leftChars="0"/>
        <w:rPr>
          <w:rFonts w:hint="eastAsia" w:ascii="Times New Roman" w:hAnsi="Times New Roman" w:eastAsia="仿宋_GB2312" w:cs="仿宋_GB2312"/>
          <w:color w:val="auto"/>
          <w:sz w:val="32"/>
          <w:szCs w:val="32"/>
          <w:highlight w:val="none"/>
        </w:rPr>
      </w:pPr>
    </w:p>
    <w:p>
      <w:pPr>
        <w:pStyle w:val="16"/>
        <w:pageBreakBefore w:val="0"/>
        <w:widowControl w:val="0"/>
        <w:kinsoku/>
        <w:wordWrap/>
        <w:topLinePunct w:val="0"/>
        <w:autoSpaceDE/>
        <w:autoSpaceDN/>
        <w:bidi w:val="0"/>
        <w:ind w:left="420" w:leftChars="0"/>
        <w:rPr>
          <w:rFonts w:hint="eastAsia"/>
          <w:color w:val="auto"/>
          <w:highlight w:val="none"/>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color w:val="auto"/>
          <w:sz w:val="32"/>
          <w:szCs w:val="32"/>
          <w:highlight w:val="none"/>
        </w:rPr>
        <w:t>642.2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color w:val="auto"/>
          <w:sz w:val="32"/>
          <w:szCs w:val="32"/>
          <w:highlight w:val="none"/>
        </w:rPr>
        <w:t>642.2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5"/>
      <w:bookmarkStart w:id="23" w:name="_Toc15377207"/>
      <w:r>
        <w:rPr>
          <w:rFonts w:hint="eastAsia" w:ascii="Times New Roman" w:hAnsi="Times New Roman" w:eastAsia="仿宋_GB2312" w:cs="Times New Roman"/>
          <w:b w:val="0"/>
          <w:bCs w:val="0"/>
          <w:color w:val="auto"/>
          <w:sz w:val="32"/>
          <w:szCs w:val="32"/>
          <w:highlight w:val="none"/>
          <w:lang w:val="en-US" w:eastAsia="zh-CN"/>
        </w:rPr>
        <w:pict>
          <v:shape id="Object 4" o:spid="_x0000_s1027" o:spt="75" type="#_x0000_t75" style="position:absolute;left:0pt;margin-left:-7.5pt;margin-top:10.65pt;height:163.85pt;width:418.35pt;z-index:251660288;mso-width-relative:page;mso-height-relative:page;" o:ole="t" filled="f" o:preferrelative="t" stroked="f" coordsize="21600,21600">
            <v:path/>
            <v:fill on="f" focussize="0,0"/>
            <v:stroke on="f"/>
            <v:imagedata r:id="rId12" o:title=""/>
            <o:lock v:ext="edit" aspectratio="t"/>
          </v:shape>
          <o:OLEObject Type="Embed" ProgID="Excel.Sheet.12" ShapeID="Object 4" DrawAspect="Content" ObjectID="_1468075726" r:id="rId11">
            <o:LockedField>false</o:LockedField>
          </o:OLEObject>
        </w:pic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Style w:val="33"/>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22"/>
      <w:bookmarkEnd w:id="23"/>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color w:val="auto"/>
          <w:sz w:val="32"/>
          <w:szCs w:val="32"/>
          <w:highlight w:val="none"/>
        </w:rPr>
        <w:t>642.2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color w:val="auto"/>
          <w:sz w:val="32"/>
          <w:szCs w:val="32"/>
          <w:highlight w:val="none"/>
        </w:rPr>
        <w:t>312.97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48.7</w:t>
      </w:r>
      <w:r>
        <w:rPr>
          <w:rFonts w:hint="eastAsia" w:ascii="仿宋_GB2312" w:hAnsi="仿宋_GB2312"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color w:val="auto"/>
          <w:sz w:val="32"/>
          <w:szCs w:val="32"/>
          <w:highlight w:val="none"/>
        </w:rPr>
        <w:t>329.23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51.26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pageBreakBefore w:val="0"/>
        <w:widowControl w:val="0"/>
        <w:kinsoku/>
        <w:wordWrap/>
        <w:topLinePunct w:val="0"/>
        <w:autoSpaceDE/>
        <w:autoSpaceDN/>
        <w:bidi w:val="0"/>
        <w:ind w:left="0" w:leftChars="0"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Times New Roman"/>
          <w:b w:val="0"/>
          <w:bCs w:val="0"/>
          <w:color w:val="auto"/>
          <w:sz w:val="32"/>
          <w:szCs w:val="32"/>
          <w:highlight w:val="none"/>
          <w:lang w:val="en-US" w:eastAsia="zh-CN"/>
        </w:rPr>
        <w:pict>
          <v:shape id="Object 6" o:spid="_x0000_s1028" o:spt="75" type="#_x0000_t75" style="position:absolute;left:0pt;margin-left:-4pt;margin-top:10.45pt;height:144.35pt;width:401.5pt;z-index:251661312;mso-width-relative:page;mso-height-relative:page;" o:ole="t" filled="f" o:preferrelative="t" stroked="f" coordsize="21600,21600">
            <v:path/>
            <v:fill on="f" focussize="0,0"/>
            <v:stroke on="f"/>
            <v:imagedata r:id="rId14" o:title=""/>
            <o:lock v:ext="edit" aspectratio="t"/>
          </v:shape>
          <o:OLEObject Type="Embed" ProgID="Excel.Sheet.12" ShapeID="Object 6" DrawAspect="Content" ObjectID="_1468075727" r:id="rId13">
            <o:LockedField>false</o:LockedField>
          </o:OLEObject>
        </w:pict>
      </w: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sz w:val="32"/>
          <w:szCs w:val="32"/>
          <w:highlight w:val="none"/>
          <w:lang w:eastAsia="zh-CN"/>
        </w:rPr>
      </w:pPr>
    </w:p>
    <w:p>
      <w:pPr>
        <w:pageBreakBefore w:val="0"/>
        <w:widowControl w:val="0"/>
        <w:kinsoku/>
        <w:wordWrap/>
        <w:topLinePunct w:val="0"/>
        <w:autoSpaceDE/>
        <w:autoSpaceDN/>
        <w:bidi w:val="0"/>
        <w:ind w:left="0" w:leftChars="0"/>
        <w:rPr>
          <w:rFonts w:hint="eastAsia" w:ascii="Times New Roman" w:hAnsi="Times New Roman" w:eastAsia="仿宋_GB2312" w:cs="仿宋_GB2312"/>
          <w:color w:val="auto"/>
          <w:sz w:val="32"/>
          <w:szCs w:val="32"/>
          <w:highlight w:val="none"/>
          <w:lang w:eastAsia="zh-CN"/>
        </w:rPr>
      </w:pP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sz w:val="32"/>
          <w:szCs w:val="32"/>
          <w:highlight w:val="none"/>
          <w:lang w:eastAsia="zh-CN"/>
        </w:rPr>
      </w:pPr>
    </w:p>
    <w:p>
      <w:pPr>
        <w:pageBreakBefore w:val="0"/>
        <w:widowControl w:val="0"/>
        <w:kinsoku/>
        <w:wordWrap/>
        <w:topLinePunct w:val="0"/>
        <w:autoSpaceDE/>
        <w:autoSpaceDN/>
        <w:bidi w:val="0"/>
        <w:ind w:left="0" w:leftChars="0"/>
        <w:rPr>
          <w:rFonts w:hint="eastAsia" w:ascii="Times New Roman" w:hAnsi="Times New Roman" w:eastAsia="仿宋_GB2312" w:cs="仿宋_GB2312"/>
          <w:color w:val="auto"/>
          <w:sz w:val="32"/>
          <w:szCs w:val="32"/>
          <w:highlight w:val="none"/>
          <w:lang w:eastAsia="zh-CN"/>
        </w:rPr>
      </w:pPr>
    </w:p>
    <w:p>
      <w:pPr>
        <w:pStyle w:val="16"/>
        <w:pageBreakBefore w:val="0"/>
        <w:widowControl w:val="0"/>
        <w:kinsoku/>
        <w:wordWrap/>
        <w:topLinePunct w:val="0"/>
        <w:autoSpaceDE/>
        <w:autoSpaceDN/>
        <w:bidi w:val="0"/>
        <w:ind w:left="420" w:leftChars="0"/>
        <w:rPr>
          <w:rFonts w:hint="eastAsia"/>
          <w:color w:val="auto"/>
          <w:highlight w:val="none"/>
          <w:lang w:eastAsia="zh-CN"/>
        </w:rPr>
      </w:pPr>
    </w:p>
    <w:p>
      <w:pPr>
        <w:pageBreakBefore w:val="0"/>
        <w:widowControl w:val="0"/>
        <w:kinsoku/>
        <w:wordWrap/>
        <w:topLinePunct w:val="0"/>
        <w:autoSpaceDE/>
        <w:autoSpaceDN/>
        <w:bidi w:val="0"/>
        <w:spacing w:line="600" w:lineRule="exact"/>
        <w:ind w:left="0" w:leftChars="0" w:firstLine="640" w:firstLineChars="200"/>
        <w:outlineLvl w:val="1"/>
        <w:rPr>
          <w:rStyle w:val="33"/>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24"/>
      <w:bookmarkEnd w:id="25"/>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color w:val="auto"/>
          <w:sz w:val="32"/>
          <w:szCs w:val="32"/>
          <w:highlight w:val="none"/>
        </w:rPr>
        <w:t>642.2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6.86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本年项目收支有所增加。</w:t>
      </w:r>
    </w:p>
    <w:p>
      <w:pPr>
        <w:pageBreakBefore w:val="0"/>
        <w:widowControl w:val="0"/>
        <w:kinsoku/>
        <w:wordWrap/>
        <w:topLinePunct w:val="0"/>
        <w:autoSpaceDE/>
        <w:autoSpaceDN/>
        <w:bidi w:val="0"/>
        <w:spacing w:line="600" w:lineRule="exact"/>
        <w:ind w:left="0" w:leftChars="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ascii="仿宋_GB2312" w:eastAsia="仿宋_GB2312"/>
          <w:b w:val="0"/>
          <w:bCs w:val="0"/>
          <w:color w:val="auto"/>
          <w:sz w:val="32"/>
          <w:szCs w:val="32"/>
          <w:highlight w:val="none"/>
        </w:rPr>
        <w:pict>
          <v:shape id="_x0000_s1029" o:spid="_x0000_s1029" o:spt="75" type="#_x0000_t75" style="position:absolute;left:0pt;margin-left:9.9pt;margin-top:2.9pt;height:160.85pt;width:395.7pt;z-index:251662336;mso-width-relative:page;mso-height-relative:page;" o:ole="t" filled="f" o:preferrelative="t" stroked="f" coordsize="21600,21600">
            <v:path/>
            <v:fill on="f" focussize="0,0"/>
            <v:stroke on="f"/>
            <v:imagedata r:id="rId16" o:title=""/>
            <o:lock v:ext="edit" aspectratio="t"/>
          </v:shape>
          <o:OLEObject Type="Embed" ProgID="Excel.Sheet.12" ShapeID="_x0000_s1029" DrawAspect="Content" ObjectID="_1468075728" r:id="rId15">
            <o:LockedField>false</o:LockedField>
          </o:OLEObject>
        </w:pict>
      </w: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ind w:left="0" w:leftChars="0"/>
        <w:rPr>
          <w:rFonts w:hint="eastAsia" w:ascii="Times New Roman" w:hAnsi="Times New Roman" w:eastAsia="仿宋_GB2312" w:cs="仿宋_GB2312"/>
          <w:color w:val="auto"/>
          <w:kern w:val="2"/>
          <w:sz w:val="32"/>
          <w:szCs w:val="32"/>
          <w:highlight w:val="none"/>
          <w:lang w:val="en-US" w:eastAsia="zh-CN" w:bidi="ar-SA"/>
        </w:rPr>
      </w:pP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ind w:left="0" w:leftChars="0"/>
        <w:rPr>
          <w:rFonts w:hint="eastAsia"/>
          <w:color w:val="auto"/>
          <w:highlight w:val="none"/>
          <w:lang w:val="en-US" w:eastAsia="zh-CN"/>
        </w:rPr>
      </w:pPr>
    </w:p>
    <w:p>
      <w:pPr>
        <w:pageBreakBefore w:val="0"/>
        <w:widowControl w:val="0"/>
        <w:kinsoku/>
        <w:wordWrap/>
        <w:topLinePunct w:val="0"/>
        <w:autoSpaceDE/>
        <w:autoSpaceDN/>
        <w:bidi w:val="0"/>
        <w:spacing w:line="600" w:lineRule="exact"/>
        <w:ind w:left="0" w:leftChars="0"/>
        <w:outlineLvl w:val="1"/>
        <w:rPr>
          <w:rFonts w:hint="eastAsia" w:ascii="Times New Roman" w:hAnsi="Times New Roman" w:eastAsia="黑体"/>
          <w:color w:val="auto"/>
          <w:sz w:val="32"/>
          <w:szCs w:val="32"/>
          <w:highlight w:val="none"/>
        </w:rPr>
      </w:pPr>
      <w:bookmarkStart w:id="26" w:name="_Toc15377209"/>
      <w:bookmarkStart w:id="27" w:name="_Toc15396607"/>
    </w:p>
    <w:p>
      <w:pPr>
        <w:pageBreakBefore w:val="0"/>
        <w:widowControl w:val="0"/>
        <w:kinsoku/>
        <w:wordWrap/>
        <w:topLinePunct w:val="0"/>
        <w:autoSpaceDE/>
        <w:autoSpaceDN/>
        <w:bidi w:val="0"/>
        <w:spacing w:line="600" w:lineRule="exact"/>
        <w:ind w:left="0" w:leftChars="0" w:firstLine="640" w:firstLineChars="200"/>
        <w:outlineLvl w:val="1"/>
        <w:rPr>
          <w:rStyle w:val="33"/>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26"/>
      <w:bookmarkEnd w:id="27"/>
    </w:p>
    <w:p>
      <w:pPr>
        <w:pageBreakBefore w:val="0"/>
        <w:widowControl w:val="0"/>
        <w:kinsoku/>
        <w:wordWrap/>
        <w:topLinePunct w:val="0"/>
        <w:autoSpaceDE/>
        <w:autoSpaceDN/>
        <w:bidi w:val="0"/>
        <w:spacing w:line="600" w:lineRule="exact"/>
        <w:ind w:left="0" w:leftChars="0"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color w:val="auto"/>
          <w:sz w:val="32"/>
          <w:szCs w:val="32"/>
          <w:highlight w:val="none"/>
        </w:rPr>
        <w:t>642.2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color w:val="auto"/>
          <w:sz w:val="32"/>
          <w:szCs w:val="32"/>
          <w:highlight w:val="none"/>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6.86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本年项目收支有所增加。</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ascii="仿宋_GB2312" w:eastAsia="仿宋_GB2312"/>
          <w:b w:val="0"/>
          <w:bCs w:val="0"/>
          <w:color w:val="auto"/>
          <w:sz w:val="32"/>
          <w:szCs w:val="32"/>
          <w:highlight w:val="none"/>
        </w:rPr>
        <w:pict>
          <v:shape id="_x0000_s1030" o:spid="_x0000_s1030" o:spt="75" type="#_x0000_t75" style="position:absolute;left:0pt;margin-left:20.45pt;margin-top:57.15pt;height:160.9pt;width:395.75pt;z-index:251663360;mso-width-relative:page;mso-height-relative:page;" o:ole="t" filled="f" o:preferrelative="t" stroked="f" coordsize="21600,21600">
            <v:path/>
            <v:fill on="f" focussize="0,0"/>
            <v:stroke on="f"/>
            <v:imagedata r:id="rId18" o:title=""/>
            <o:lock v:ext="edit" aspectratio="t"/>
          </v:shape>
          <o:OLEObject Type="Embed" ProgID="Excel.Sheet.12" ShapeID="_x0000_s1030" DrawAspect="Content" ObjectID="_1468075729" r:id="rId17">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ind w:left="0" w:leftChars="0"/>
        <w:rPr>
          <w:rFonts w:hint="eastAsia" w:ascii="Times New Roman" w:hAnsi="Times New Roman" w:eastAsia="仿宋_GB2312" w:cs="仿宋_GB2312"/>
          <w:color w:val="auto"/>
          <w:kern w:val="2"/>
          <w:sz w:val="32"/>
          <w:szCs w:val="32"/>
          <w:highlight w:val="none"/>
          <w:lang w:val="en-US" w:eastAsia="zh-CN" w:bidi="ar-SA"/>
        </w:rPr>
      </w:pP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ind w:left="0" w:leftChars="0"/>
        <w:rPr>
          <w:rFonts w:hint="eastAsia"/>
          <w:color w:val="auto"/>
          <w:highlight w:val="none"/>
          <w:lang w:val="en-US" w:eastAsia="zh-CN"/>
        </w:rPr>
      </w:pPr>
    </w:p>
    <w:p>
      <w:pPr>
        <w:pStyle w:val="16"/>
        <w:pageBreakBefore w:val="0"/>
        <w:widowControl w:val="0"/>
        <w:kinsoku/>
        <w:wordWrap/>
        <w:topLinePunct w:val="0"/>
        <w:autoSpaceDE/>
        <w:autoSpaceDN/>
        <w:bidi w:val="0"/>
        <w:ind w:left="420" w:leftChars="0"/>
        <w:rPr>
          <w:rFonts w:hint="eastAsia"/>
          <w:color w:val="auto"/>
          <w:highlight w:val="none"/>
          <w:lang w:val="en-US" w:eastAsia="zh-CN"/>
        </w:rPr>
      </w:pPr>
    </w:p>
    <w:p>
      <w:pPr>
        <w:pageBreakBefore w:val="0"/>
        <w:widowControl w:val="0"/>
        <w:kinsoku/>
        <w:wordWrap/>
        <w:topLinePunct w:val="0"/>
        <w:autoSpaceDE/>
        <w:autoSpaceDN/>
        <w:bidi w:val="0"/>
        <w:ind w:left="0" w:leftChars="0"/>
        <w:rPr>
          <w:rFonts w:hint="eastAsia"/>
          <w:color w:val="auto"/>
          <w:highlight w:val="none"/>
          <w:lang w:val="en-US" w:eastAsia="zh-CN"/>
        </w:rPr>
      </w:pP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spacing w:line="600" w:lineRule="exact"/>
        <w:ind w:left="0" w:leftChars="0"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color w:val="auto"/>
          <w:sz w:val="32"/>
          <w:szCs w:val="32"/>
          <w:highlight w:val="none"/>
        </w:rPr>
        <w:t>642.2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580.74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90.43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29.08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4.53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11.44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20.94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3.26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color w:val="auto"/>
          <w:sz w:val="32"/>
          <w:szCs w:val="32"/>
          <w:highlight w:val="none"/>
          <w:lang w:val="en-US" w:eastAsia="zh-CN"/>
        </w:rPr>
        <w:pict>
          <v:shape id="Object 11" o:spid="_x0000_s1031" o:spt="75" type="#_x0000_t75" style="position:absolute;left:0pt;margin-left:-5.85pt;margin-top:24.4pt;height:162.05pt;width:424.65pt;z-index:251664384;mso-width-relative:page;mso-height-relative:page;" o:ole="t" filled="f" o:preferrelative="t" stroked="f" coordsize="21600,21600">
            <v:path/>
            <v:fill on="f" focussize="0,0"/>
            <v:stroke on="f"/>
            <v:imagedata r:id="rId20" o:title=""/>
            <o:lock v:ext="edit" aspectratio="t"/>
          </v:shape>
          <o:OLEObject Type="Embed" ProgID="Excel.Sheet.12" ShapeID="Object 11" DrawAspect="Content" ObjectID="_1468075730" r:id="rId19">
            <o:LockedField>false</o:LockedField>
          </o:OLEObject>
        </w:pict>
      </w: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ind w:left="0" w:leftChars="0"/>
        <w:rPr>
          <w:rFonts w:hint="eastAsia" w:ascii="Times New Roman" w:hAnsi="Times New Roman" w:eastAsia="仿宋_GB2312" w:cs="仿宋_GB2312"/>
          <w:color w:val="auto"/>
          <w:kern w:val="2"/>
          <w:sz w:val="32"/>
          <w:szCs w:val="32"/>
          <w:highlight w:val="none"/>
          <w:lang w:val="en-US" w:eastAsia="zh-CN" w:bidi="ar-SA"/>
        </w:rPr>
      </w:pP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ind w:left="0" w:leftChars="0"/>
        <w:rPr>
          <w:rFonts w:hint="eastAsia" w:ascii="Times New Roman" w:hAnsi="Times New Roman" w:eastAsia="仿宋_GB2312" w:cs="仿宋_GB2312"/>
          <w:color w:val="auto"/>
          <w:kern w:val="2"/>
          <w:sz w:val="32"/>
          <w:szCs w:val="32"/>
          <w:highlight w:val="none"/>
          <w:lang w:val="en-US" w:eastAsia="zh-CN" w:bidi="ar-SA"/>
        </w:rPr>
      </w:pPr>
    </w:p>
    <w:p>
      <w:pPr>
        <w:pStyle w:val="16"/>
        <w:pageBreakBefore w:val="0"/>
        <w:widowControl w:val="0"/>
        <w:kinsoku/>
        <w:wordWrap/>
        <w:topLinePunct w:val="0"/>
        <w:autoSpaceDE/>
        <w:autoSpaceDN/>
        <w:bidi w:val="0"/>
        <w:ind w:left="640" w:leftChars="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ind w:left="0" w:leftChars="0"/>
        <w:rPr>
          <w:rFonts w:hint="eastAsia"/>
          <w:color w:val="auto"/>
          <w:highlight w:val="none"/>
          <w:lang w:val="en-US" w:eastAsia="zh-CN"/>
        </w:rPr>
      </w:pPr>
    </w:p>
    <w:p>
      <w:pPr>
        <w:pageBreakBefore w:val="0"/>
        <w:widowControl w:val="0"/>
        <w:kinsoku/>
        <w:wordWrap/>
        <w:topLinePunct w:val="0"/>
        <w:autoSpaceDE/>
        <w:autoSpaceDN/>
        <w:bidi w:val="0"/>
        <w:spacing w:line="600" w:lineRule="exact"/>
        <w:ind w:left="0" w:leftChars="0"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444"/>
      <w:bookmarkStart w:id="32" w:name="_Toc15377213"/>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color w:val="auto"/>
          <w:sz w:val="32"/>
          <w:szCs w:val="32"/>
          <w:highlight w:val="none"/>
        </w:rPr>
        <w:t>642.2</w:t>
      </w:r>
      <w:r>
        <w:rPr>
          <w:rFonts w:hint="eastAsia" w:ascii="仿宋_GB2312" w:hAnsi="仿宋_GB2312" w:eastAsia="仿宋_GB2312" w:cs="仿宋_GB2312"/>
          <w:color w:val="auto"/>
          <w:sz w:val="32"/>
          <w:szCs w:val="32"/>
          <w:highlight w:val="none"/>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98.77</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ascii="仿宋" w:hAnsi="仿宋" w:eastAsia="仿宋" w:cs="仿宋"/>
          <w:b/>
          <w:bCs/>
          <w:i w:val="0"/>
          <w:iCs w:val="0"/>
          <w:caps w:val="0"/>
          <w:color w:val="auto"/>
          <w:spacing w:val="0"/>
          <w:sz w:val="31"/>
          <w:szCs w:val="31"/>
          <w:highlight w:val="none"/>
          <w:shd w:val="clear" w:fill="FFFFFF"/>
        </w:rPr>
        <w:t>1.</w:t>
      </w:r>
      <w:r>
        <w:rPr>
          <w:rStyle w:val="21"/>
          <w:rFonts w:hint="eastAsia" w:ascii="仿宋" w:hAnsi="仿宋" w:eastAsia="仿宋" w:cs="仿宋"/>
          <w:b/>
          <w:bCs/>
          <w:i w:val="0"/>
          <w:iCs w:val="0"/>
          <w:caps w:val="0"/>
          <w:color w:val="auto"/>
          <w:spacing w:val="0"/>
          <w:sz w:val="31"/>
          <w:szCs w:val="31"/>
          <w:highlight w:val="none"/>
          <w:shd w:val="clear" w:fill="FFFFFF"/>
        </w:rPr>
        <w:t>一般公共服务（类）群众团体事务（款）行政运行（项）: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206.39</w:t>
      </w:r>
      <w:r>
        <w:rPr>
          <w:rFonts w:hint="eastAsia" w:ascii="仿宋" w:hAnsi="仿宋" w:eastAsia="仿宋" w:cs="仿宋"/>
          <w:i w:val="0"/>
          <w:iCs w:val="0"/>
          <w:caps w:val="0"/>
          <w:color w:val="auto"/>
          <w:spacing w:val="0"/>
          <w:sz w:val="31"/>
          <w:szCs w:val="31"/>
          <w:highlight w:val="none"/>
          <w:shd w:val="clear" w:fill="FFFFFF"/>
        </w:rPr>
        <w:t>万元，完成预算</w:t>
      </w:r>
      <w:r>
        <w:rPr>
          <w:rFonts w:hint="eastAsia" w:ascii="仿宋" w:hAnsi="仿宋" w:eastAsia="仿宋" w:cs="仿宋"/>
          <w:i w:val="0"/>
          <w:iCs w:val="0"/>
          <w:caps w:val="0"/>
          <w:color w:val="auto"/>
          <w:spacing w:val="0"/>
          <w:sz w:val="31"/>
          <w:szCs w:val="31"/>
          <w:highlight w:val="none"/>
          <w:shd w:val="clear" w:fill="FFFFFF"/>
          <w:lang w:val="en-US" w:eastAsia="zh-CN"/>
        </w:rPr>
        <w:t>97.02</w:t>
      </w:r>
      <w:r>
        <w:rPr>
          <w:rFonts w:hint="eastAsia" w:ascii="仿宋" w:hAnsi="仿宋" w:eastAsia="仿宋" w:cs="仿宋"/>
          <w:i w:val="0"/>
          <w:iCs w:val="0"/>
          <w:caps w:val="0"/>
          <w:color w:val="auto"/>
          <w:spacing w:val="0"/>
          <w:sz w:val="31"/>
          <w:szCs w:val="31"/>
          <w:highlight w:val="none"/>
          <w:shd w:val="clear" w:fill="FFFFFF"/>
        </w:rPr>
        <w:t>%。</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rPr>
        <w:t>2.一般公共服务（类）群众团体事务（款）一般行政管理事务（项）: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256.24</w:t>
      </w:r>
      <w:r>
        <w:rPr>
          <w:rFonts w:hint="eastAsia" w:ascii="仿宋" w:hAnsi="仿宋" w:eastAsia="仿宋" w:cs="仿宋"/>
          <w:i w:val="0"/>
          <w:iCs w:val="0"/>
          <w:caps w:val="0"/>
          <w:color w:val="auto"/>
          <w:spacing w:val="0"/>
          <w:sz w:val="31"/>
          <w:szCs w:val="31"/>
          <w:highlight w:val="none"/>
          <w:shd w:val="clear" w:fill="FFFFFF"/>
        </w:rPr>
        <w:t>万元，完成预算</w:t>
      </w:r>
      <w:r>
        <w:rPr>
          <w:rFonts w:hint="eastAsia" w:ascii="仿宋" w:hAnsi="仿宋" w:eastAsia="仿宋" w:cs="仿宋"/>
          <w:i w:val="0"/>
          <w:iCs w:val="0"/>
          <w:caps w:val="0"/>
          <w:color w:val="auto"/>
          <w:spacing w:val="0"/>
          <w:sz w:val="31"/>
          <w:szCs w:val="31"/>
          <w:highlight w:val="none"/>
          <w:shd w:val="clear" w:fill="FFFFFF"/>
          <w:lang w:val="en-US" w:eastAsia="zh-CN"/>
        </w:rPr>
        <w:t>100</w:t>
      </w:r>
      <w:r>
        <w:rPr>
          <w:rFonts w:hint="eastAsia" w:ascii="仿宋" w:hAnsi="仿宋" w:eastAsia="仿宋" w:cs="仿宋"/>
          <w:i w:val="0"/>
          <w:iCs w:val="0"/>
          <w:caps w:val="0"/>
          <w:color w:val="auto"/>
          <w:spacing w:val="0"/>
          <w:sz w:val="31"/>
          <w:szCs w:val="31"/>
          <w:highlight w:val="none"/>
          <w:shd w:val="clear" w:fill="FFFFFF"/>
        </w:rPr>
        <w:t>%。</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rPr>
        <w:t>3.一般公共服务（类）群众团体事务（款）事业运行（项）: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47.12</w:t>
      </w:r>
      <w:r>
        <w:rPr>
          <w:rFonts w:hint="eastAsia" w:ascii="仿宋" w:hAnsi="仿宋" w:eastAsia="仿宋" w:cs="仿宋"/>
          <w:i w:val="0"/>
          <w:iCs w:val="0"/>
          <w:caps w:val="0"/>
          <w:color w:val="auto"/>
          <w:spacing w:val="0"/>
          <w:sz w:val="31"/>
          <w:szCs w:val="31"/>
          <w:highlight w:val="none"/>
          <w:shd w:val="clear" w:fill="FFFFFF"/>
        </w:rPr>
        <w:t>万元，完成预算</w:t>
      </w:r>
      <w:r>
        <w:rPr>
          <w:rFonts w:hint="eastAsia" w:ascii="仿宋" w:hAnsi="仿宋" w:eastAsia="仿宋" w:cs="仿宋"/>
          <w:i w:val="0"/>
          <w:iCs w:val="0"/>
          <w:caps w:val="0"/>
          <w:color w:val="auto"/>
          <w:spacing w:val="0"/>
          <w:sz w:val="31"/>
          <w:szCs w:val="31"/>
          <w:highlight w:val="none"/>
          <w:shd w:val="clear" w:fill="FFFFFF"/>
          <w:lang w:val="en-US" w:eastAsia="zh-CN"/>
        </w:rPr>
        <w:t>96.64</w:t>
      </w:r>
      <w:r>
        <w:rPr>
          <w:rFonts w:hint="eastAsia" w:ascii="仿宋" w:hAnsi="仿宋" w:eastAsia="仿宋" w:cs="仿宋"/>
          <w:i w:val="0"/>
          <w:iCs w:val="0"/>
          <w:caps w:val="0"/>
          <w:color w:val="auto"/>
          <w:spacing w:val="0"/>
          <w:sz w:val="31"/>
          <w:szCs w:val="31"/>
          <w:highlight w:val="none"/>
          <w:shd w:val="clear" w:fill="FFFFFF"/>
        </w:rPr>
        <w:t>%。</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rPr>
        <w:t>4.一般公共服务（类）群众团体事务（款）其他群众团体事务（项）: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70.98</w:t>
      </w:r>
      <w:r>
        <w:rPr>
          <w:rFonts w:hint="eastAsia" w:ascii="仿宋" w:hAnsi="仿宋" w:eastAsia="仿宋" w:cs="仿宋"/>
          <w:i w:val="0"/>
          <w:iCs w:val="0"/>
          <w:caps w:val="0"/>
          <w:color w:val="auto"/>
          <w:spacing w:val="0"/>
          <w:sz w:val="31"/>
          <w:szCs w:val="31"/>
          <w:highlight w:val="none"/>
          <w:shd w:val="clear" w:fill="FFFFFF"/>
        </w:rPr>
        <w:t>万元，完成预算</w:t>
      </w:r>
      <w:r>
        <w:rPr>
          <w:rFonts w:hint="eastAsia" w:ascii="仿宋" w:hAnsi="仿宋" w:eastAsia="仿宋" w:cs="仿宋"/>
          <w:i w:val="0"/>
          <w:iCs w:val="0"/>
          <w:caps w:val="0"/>
          <w:color w:val="auto"/>
          <w:spacing w:val="0"/>
          <w:sz w:val="31"/>
          <w:szCs w:val="31"/>
          <w:highlight w:val="none"/>
          <w:shd w:val="clear" w:fill="FFFFFF"/>
          <w:lang w:val="en-US" w:eastAsia="zh-CN"/>
        </w:rPr>
        <w:t>99.98</w:t>
      </w:r>
      <w:r>
        <w:rPr>
          <w:rFonts w:hint="eastAsia" w:ascii="仿宋" w:hAnsi="仿宋" w:eastAsia="仿宋" w:cs="仿宋"/>
          <w:i w:val="0"/>
          <w:iCs w:val="0"/>
          <w:caps w:val="0"/>
          <w:color w:val="auto"/>
          <w:spacing w:val="0"/>
          <w:sz w:val="31"/>
          <w:szCs w:val="31"/>
          <w:highlight w:val="none"/>
          <w:shd w:val="clear" w:fill="FFFFFF"/>
        </w:rPr>
        <w:t>%。</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rPr>
        <w:t>5.社会保障和就业支出（类）行政事业单位养老支出（款）行政单位离退休（项）: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4.72</w:t>
      </w:r>
      <w:r>
        <w:rPr>
          <w:rFonts w:hint="eastAsia" w:ascii="仿宋" w:hAnsi="仿宋" w:eastAsia="仿宋" w:cs="仿宋"/>
          <w:i w:val="0"/>
          <w:iCs w:val="0"/>
          <w:caps w:val="0"/>
          <w:color w:val="auto"/>
          <w:spacing w:val="0"/>
          <w:sz w:val="31"/>
          <w:szCs w:val="31"/>
          <w:highlight w:val="none"/>
          <w:shd w:val="clear" w:fill="FFFFFF"/>
        </w:rPr>
        <w:t>万元，完成预算</w:t>
      </w:r>
      <w:r>
        <w:rPr>
          <w:rFonts w:hint="eastAsia" w:ascii="仿宋" w:hAnsi="仿宋" w:eastAsia="仿宋" w:cs="仿宋"/>
          <w:i w:val="0"/>
          <w:iCs w:val="0"/>
          <w:caps w:val="0"/>
          <w:color w:val="auto"/>
          <w:spacing w:val="0"/>
          <w:sz w:val="31"/>
          <w:szCs w:val="31"/>
          <w:highlight w:val="none"/>
          <w:shd w:val="clear" w:fill="FFFFFF"/>
          <w:lang w:val="en-US" w:eastAsia="zh-CN"/>
        </w:rPr>
        <w:t>100</w:t>
      </w:r>
      <w:r>
        <w:rPr>
          <w:rFonts w:hint="eastAsia" w:ascii="仿宋" w:hAnsi="仿宋" w:eastAsia="仿宋" w:cs="仿宋"/>
          <w:i w:val="0"/>
          <w:iCs w:val="0"/>
          <w:caps w:val="0"/>
          <w:color w:val="auto"/>
          <w:spacing w:val="0"/>
          <w:sz w:val="31"/>
          <w:szCs w:val="31"/>
          <w:highlight w:val="none"/>
          <w:shd w:val="clear" w:fill="FFFFFF"/>
        </w:rPr>
        <w:t>%。</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rPr>
        <w:t>6.社会保障和就业支出（类）行政事业单位养老支出（款）事业单位离退休（项）: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0.45</w:t>
      </w:r>
      <w:r>
        <w:rPr>
          <w:rFonts w:hint="eastAsia" w:ascii="仿宋" w:hAnsi="仿宋" w:eastAsia="仿宋" w:cs="仿宋"/>
          <w:i w:val="0"/>
          <w:iCs w:val="0"/>
          <w:caps w:val="0"/>
          <w:color w:val="auto"/>
          <w:spacing w:val="0"/>
          <w:sz w:val="31"/>
          <w:szCs w:val="31"/>
          <w:highlight w:val="none"/>
          <w:shd w:val="clear" w:fill="FFFFFF"/>
        </w:rPr>
        <w:t>万元，完成预算</w:t>
      </w:r>
      <w:r>
        <w:rPr>
          <w:rFonts w:hint="eastAsia" w:ascii="仿宋" w:hAnsi="仿宋" w:eastAsia="仿宋" w:cs="仿宋"/>
          <w:i w:val="0"/>
          <w:iCs w:val="0"/>
          <w:caps w:val="0"/>
          <w:color w:val="auto"/>
          <w:spacing w:val="0"/>
          <w:sz w:val="31"/>
          <w:szCs w:val="31"/>
          <w:highlight w:val="none"/>
          <w:shd w:val="clear" w:fill="FFFFFF"/>
          <w:lang w:val="en-US" w:eastAsia="zh-CN"/>
        </w:rPr>
        <w:t>100</w:t>
      </w:r>
      <w:r>
        <w:rPr>
          <w:rFonts w:hint="eastAsia" w:ascii="仿宋" w:hAnsi="仿宋" w:eastAsia="仿宋" w:cs="仿宋"/>
          <w:i w:val="0"/>
          <w:iCs w:val="0"/>
          <w:caps w:val="0"/>
          <w:color w:val="auto"/>
          <w:spacing w:val="0"/>
          <w:sz w:val="31"/>
          <w:szCs w:val="31"/>
          <w:highlight w:val="none"/>
          <w:shd w:val="clear" w:fill="FFFFFF"/>
        </w:rPr>
        <w:t>%。</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rPr>
        <w:t>7.社会保障和就业支出（类）行政事业单位养老支出（款）机关事业单位基本养老保险缴费支出（项）: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23.38</w:t>
      </w:r>
      <w:r>
        <w:rPr>
          <w:rFonts w:hint="eastAsia" w:ascii="仿宋" w:hAnsi="仿宋" w:eastAsia="仿宋" w:cs="仿宋"/>
          <w:i w:val="0"/>
          <w:iCs w:val="0"/>
          <w:caps w:val="0"/>
          <w:color w:val="auto"/>
          <w:spacing w:val="0"/>
          <w:sz w:val="31"/>
          <w:szCs w:val="31"/>
          <w:highlight w:val="none"/>
          <w:shd w:val="clear" w:fill="FFFFFF"/>
        </w:rPr>
        <w:t>万元，完成预算</w:t>
      </w:r>
      <w:r>
        <w:rPr>
          <w:rFonts w:hint="eastAsia" w:ascii="仿宋" w:hAnsi="仿宋" w:eastAsia="仿宋" w:cs="仿宋"/>
          <w:i w:val="0"/>
          <w:iCs w:val="0"/>
          <w:caps w:val="0"/>
          <w:color w:val="auto"/>
          <w:spacing w:val="0"/>
          <w:sz w:val="31"/>
          <w:szCs w:val="31"/>
          <w:highlight w:val="none"/>
          <w:shd w:val="clear" w:fill="FFFFFF"/>
          <w:lang w:val="en-US" w:eastAsia="zh-CN"/>
        </w:rPr>
        <w:t>100</w:t>
      </w:r>
      <w:r>
        <w:rPr>
          <w:rFonts w:hint="eastAsia" w:ascii="仿宋" w:hAnsi="仿宋" w:eastAsia="仿宋" w:cs="仿宋"/>
          <w:i w:val="0"/>
          <w:iCs w:val="0"/>
          <w:caps w:val="0"/>
          <w:color w:val="auto"/>
          <w:spacing w:val="0"/>
          <w:sz w:val="31"/>
          <w:szCs w:val="31"/>
          <w:highlight w:val="none"/>
          <w:shd w:val="clear" w:fill="FFFFFF"/>
        </w:rPr>
        <w:t>%。</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仿宋" w:hAnsi="仿宋" w:eastAsia="仿宋" w:cs="仿宋"/>
          <w:i w:val="0"/>
          <w:iCs w:val="0"/>
          <w:caps w:val="0"/>
          <w:color w:val="auto"/>
          <w:spacing w:val="0"/>
          <w:sz w:val="31"/>
          <w:szCs w:val="31"/>
          <w:highlight w:val="none"/>
          <w:shd w:val="clear" w:fill="FFFFFF"/>
        </w:rPr>
      </w:pPr>
      <w:r>
        <w:rPr>
          <w:rStyle w:val="21"/>
          <w:rFonts w:hint="eastAsia" w:ascii="仿宋" w:hAnsi="仿宋" w:eastAsia="仿宋" w:cs="仿宋"/>
          <w:b/>
          <w:bCs/>
          <w:i w:val="0"/>
          <w:iCs w:val="0"/>
          <w:caps w:val="0"/>
          <w:color w:val="auto"/>
          <w:spacing w:val="0"/>
          <w:sz w:val="31"/>
          <w:szCs w:val="31"/>
          <w:highlight w:val="none"/>
          <w:shd w:val="clear" w:fill="FFFFFF"/>
        </w:rPr>
        <w:t>8.社会保障和就业支出（类）抚恤（款）死亡抚恤（项）:</w:t>
      </w:r>
      <w:r>
        <w:rPr>
          <w:rFonts w:hint="eastAsia" w:ascii="仿宋" w:hAnsi="仿宋" w:eastAsia="仿宋" w:cs="仿宋"/>
          <w:i w:val="0"/>
          <w:iCs w:val="0"/>
          <w:caps w:val="0"/>
          <w:color w:val="auto"/>
          <w:spacing w:val="0"/>
          <w:sz w:val="31"/>
          <w:szCs w:val="31"/>
          <w:highlight w:val="none"/>
          <w:shd w:val="clear" w:fill="FFFFFF"/>
        </w:rPr>
        <w:t> 支出决算为0.53万元，完成预算100%。</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rPr>
        <w:t>9.卫生健康支出（类）</w:t>
      </w:r>
      <w:r>
        <w:rPr>
          <w:rStyle w:val="21"/>
          <w:rFonts w:hint="eastAsia" w:ascii="仿宋" w:hAnsi="仿宋" w:eastAsia="仿宋" w:cs="仿宋"/>
          <w:b/>
          <w:bCs/>
          <w:i w:val="0"/>
          <w:iCs w:val="0"/>
          <w:caps w:val="0"/>
          <w:color w:val="auto"/>
          <w:spacing w:val="0"/>
          <w:sz w:val="31"/>
          <w:szCs w:val="31"/>
          <w:highlight w:val="none"/>
          <w:shd w:val="clear" w:fill="FFFFFF"/>
          <w:lang w:val="en-US" w:eastAsia="zh-CN"/>
        </w:rPr>
        <w:t>公共卫生</w:t>
      </w:r>
      <w:r>
        <w:rPr>
          <w:rStyle w:val="21"/>
          <w:rFonts w:hint="eastAsia" w:ascii="仿宋" w:hAnsi="仿宋" w:eastAsia="仿宋" w:cs="仿宋"/>
          <w:b/>
          <w:bCs/>
          <w:i w:val="0"/>
          <w:iCs w:val="0"/>
          <w:caps w:val="0"/>
          <w:color w:val="auto"/>
          <w:spacing w:val="0"/>
          <w:sz w:val="31"/>
          <w:szCs w:val="31"/>
          <w:highlight w:val="none"/>
          <w:shd w:val="clear" w:fill="FFFFFF"/>
        </w:rPr>
        <w:t>（款）</w:t>
      </w:r>
      <w:r>
        <w:rPr>
          <w:rStyle w:val="21"/>
          <w:rFonts w:hint="eastAsia" w:ascii="仿宋" w:hAnsi="仿宋" w:eastAsia="仿宋" w:cs="仿宋"/>
          <w:b/>
          <w:bCs/>
          <w:i w:val="0"/>
          <w:iCs w:val="0"/>
          <w:caps w:val="0"/>
          <w:color w:val="auto"/>
          <w:spacing w:val="0"/>
          <w:sz w:val="31"/>
          <w:szCs w:val="31"/>
          <w:highlight w:val="none"/>
          <w:shd w:val="clear" w:fill="FFFFFF"/>
          <w:lang w:val="en-US" w:eastAsia="zh-CN"/>
        </w:rPr>
        <w:t>重大公共卫生服务</w:t>
      </w:r>
      <w:r>
        <w:rPr>
          <w:rStyle w:val="21"/>
          <w:rFonts w:hint="eastAsia" w:ascii="仿宋" w:hAnsi="仿宋" w:eastAsia="仿宋" w:cs="仿宋"/>
          <w:b/>
          <w:bCs/>
          <w:i w:val="0"/>
          <w:iCs w:val="0"/>
          <w:caps w:val="0"/>
          <w:color w:val="auto"/>
          <w:spacing w:val="0"/>
          <w:sz w:val="31"/>
          <w:szCs w:val="31"/>
          <w:highlight w:val="none"/>
          <w:shd w:val="clear" w:fill="FFFFFF"/>
        </w:rPr>
        <w:t>（项）: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2</w:t>
      </w:r>
      <w:r>
        <w:rPr>
          <w:rFonts w:hint="eastAsia" w:ascii="仿宋" w:hAnsi="仿宋" w:eastAsia="仿宋" w:cs="仿宋"/>
          <w:i w:val="0"/>
          <w:iCs w:val="0"/>
          <w:caps w:val="0"/>
          <w:color w:val="auto"/>
          <w:spacing w:val="0"/>
          <w:sz w:val="31"/>
          <w:szCs w:val="31"/>
          <w:highlight w:val="none"/>
          <w:shd w:val="clear" w:fill="FFFFFF"/>
        </w:rPr>
        <w:t>万元，完成预算100%。</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lang w:val="en-US" w:eastAsia="zh-CN"/>
        </w:rPr>
        <w:t>10</w:t>
      </w:r>
      <w:r>
        <w:rPr>
          <w:rStyle w:val="21"/>
          <w:rFonts w:hint="eastAsia" w:ascii="仿宋" w:hAnsi="仿宋" w:eastAsia="仿宋" w:cs="仿宋"/>
          <w:b/>
          <w:bCs/>
          <w:i w:val="0"/>
          <w:iCs w:val="0"/>
          <w:caps w:val="0"/>
          <w:color w:val="auto"/>
          <w:spacing w:val="0"/>
          <w:sz w:val="31"/>
          <w:szCs w:val="31"/>
          <w:highlight w:val="none"/>
          <w:shd w:val="clear" w:fill="FFFFFF"/>
        </w:rPr>
        <w:t>.卫生健康支出（类）行政事业单位医疗（款）行政单位医疗（项）: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7.3</w:t>
      </w:r>
      <w:r>
        <w:rPr>
          <w:rFonts w:hint="eastAsia" w:ascii="仿宋" w:hAnsi="仿宋" w:eastAsia="仿宋" w:cs="仿宋"/>
          <w:i w:val="0"/>
          <w:iCs w:val="0"/>
          <w:caps w:val="0"/>
          <w:color w:val="auto"/>
          <w:spacing w:val="0"/>
          <w:sz w:val="31"/>
          <w:szCs w:val="31"/>
          <w:highlight w:val="none"/>
          <w:shd w:val="clear" w:fill="FFFFFF"/>
        </w:rPr>
        <w:t>万元，完成预算100%。</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rPr>
        <w:t>1</w:t>
      </w:r>
      <w:r>
        <w:rPr>
          <w:rStyle w:val="21"/>
          <w:rFonts w:hint="eastAsia" w:ascii="仿宋" w:hAnsi="仿宋" w:eastAsia="仿宋" w:cs="仿宋"/>
          <w:b/>
          <w:bCs/>
          <w:i w:val="0"/>
          <w:iCs w:val="0"/>
          <w:caps w:val="0"/>
          <w:color w:val="auto"/>
          <w:spacing w:val="0"/>
          <w:sz w:val="31"/>
          <w:szCs w:val="31"/>
          <w:highlight w:val="none"/>
          <w:shd w:val="clear" w:fill="FFFFFF"/>
          <w:lang w:val="en-US" w:eastAsia="zh-CN"/>
        </w:rPr>
        <w:t>1</w:t>
      </w:r>
      <w:r>
        <w:rPr>
          <w:rStyle w:val="21"/>
          <w:rFonts w:hint="eastAsia" w:ascii="仿宋" w:hAnsi="仿宋" w:eastAsia="仿宋" w:cs="仿宋"/>
          <w:b/>
          <w:bCs/>
          <w:i w:val="0"/>
          <w:iCs w:val="0"/>
          <w:caps w:val="0"/>
          <w:color w:val="auto"/>
          <w:spacing w:val="0"/>
          <w:sz w:val="31"/>
          <w:szCs w:val="31"/>
          <w:highlight w:val="none"/>
          <w:shd w:val="clear" w:fill="FFFFFF"/>
        </w:rPr>
        <w:t>.卫生健康支出（类）行政事业单位医疗（款）事业单位医疗（项）:</w:t>
      </w:r>
      <w:r>
        <w:rPr>
          <w:rFonts w:hint="eastAsia" w:ascii="仿宋" w:hAnsi="仿宋" w:eastAsia="仿宋" w:cs="仿宋"/>
          <w:i w:val="0"/>
          <w:iCs w:val="0"/>
          <w:caps w:val="0"/>
          <w:color w:val="auto"/>
          <w:spacing w:val="0"/>
          <w:sz w:val="31"/>
          <w:szCs w:val="31"/>
          <w:highlight w:val="none"/>
          <w:shd w:val="clear" w:fill="FFFFFF"/>
        </w:rPr>
        <w:t> 支出决算为</w:t>
      </w:r>
      <w:r>
        <w:rPr>
          <w:rFonts w:hint="eastAsia" w:ascii="仿宋" w:hAnsi="仿宋" w:eastAsia="仿宋" w:cs="仿宋"/>
          <w:i w:val="0"/>
          <w:iCs w:val="0"/>
          <w:caps w:val="0"/>
          <w:color w:val="auto"/>
          <w:spacing w:val="0"/>
          <w:sz w:val="31"/>
          <w:szCs w:val="31"/>
          <w:highlight w:val="none"/>
          <w:shd w:val="clear" w:fill="FFFFFF"/>
          <w:lang w:val="en-US" w:eastAsia="zh-CN"/>
        </w:rPr>
        <w:t>2.13</w:t>
      </w:r>
      <w:r>
        <w:rPr>
          <w:rFonts w:hint="eastAsia" w:ascii="仿宋" w:hAnsi="仿宋" w:eastAsia="仿宋" w:cs="仿宋"/>
          <w:i w:val="0"/>
          <w:iCs w:val="0"/>
          <w:caps w:val="0"/>
          <w:color w:val="auto"/>
          <w:spacing w:val="0"/>
          <w:sz w:val="31"/>
          <w:szCs w:val="31"/>
          <w:highlight w:val="none"/>
          <w:shd w:val="clear" w:fill="FFFFFF"/>
        </w:rPr>
        <w:t>万元，完成预算</w:t>
      </w:r>
      <w:r>
        <w:rPr>
          <w:rFonts w:hint="eastAsia" w:ascii="仿宋" w:hAnsi="仿宋" w:eastAsia="仿宋" w:cs="仿宋"/>
          <w:i w:val="0"/>
          <w:iCs w:val="0"/>
          <w:caps w:val="0"/>
          <w:color w:val="auto"/>
          <w:spacing w:val="0"/>
          <w:sz w:val="31"/>
          <w:szCs w:val="31"/>
          <w:highlight w:val="none"/>
          <w:shd w:val="clear" w:fill="FFFFFF"/>
          <w:lang w:val="en-US" w:eastAsia="zh-CN"/>
        </w:rPr>
        <w:t>100</w:t>
      </w:r>
      <w:r>
        <w:rPr>
          <w:rFonts w:hint="eastAsia" w:ascii="仿宋" w:hAnsi="仿宋" w:eastAsia="仿宋" w:cs="仿宋"/>
          <w:i w:val="0"/>
          <w:iCs w:val="0"/>
          <w:caps w:val="0"/>
          <w:color w:val="auto"/>
          <w:spacing w:val="0"/>
          <w:sz w:val="31"/>
          <w:szCs w:val="31"/>
          <w:highlight w:val="none"/>
          <w:shd w:val="clear" w:fill="FFFFFF"/>
        </w:rPr>
        <w:t>%。</w:t>
      </w:r>
    </w:p>
    <w:p>
      <w:pPr>
        <w:pStyle w:val="18"/>
        <w:keepNext w:val="0"/>
        <w:keepLines w:val="0"/>
        <w:pageBreakBefore w:val="0"/>
        <w:widowControl w:val="0"/>
        <w:suppressLineNumbers w:val="0"/>
        <w:shd w:val="clear" w:fill="FFFFFF"/>
        <w:kinsoku/>
        <w:wordWrap/>
        <w:topLinePunct w:val="0"/>
        <w:autoSpaceDE/>
        <w:autoSpaceDN/>
        <w:bidi w:val="0"/>
        <w:spacing w:before="0" w:beforeAutospacing="0" w:after="0" w:afterAutospacing="0" w:line="600" w:lineRule="atLeast"/>
        <w:ind w:left="0" w:leftChars="0" w:right="0" w:firstLine="645"/>
        <w:jc w:val="both"/>
        <w:rPr>
          <w:rFonts w:hint="eastAsia" w:ascii="宋体" w:hAnsi="宋体" w:eastAsia="宋体" w:cs="宋体"/>
          <w:i w:val="0"/>
          <w:iCs w:val="0"/>
          <w:caps w:val="0"/>
          <w:color w:val="auto"/>
          <w:spacing w:val="0"/>
          <w:sz w:val="24"/>
          <w:szCs w:val="24"/>
          <w:highlight w:val="none"/>
        </w:rPr>
      </w:pPr>
      <w:r>
        <w:rPr>
          <w:rStyle w:val="21"/>
          <w:rFonts w:hint="eastAsia" w:ascii="仿宋" w:hAnsi="仿宋" w:eastAsia="仿宋" w:cs="仿宋"/>
          <w:b/>
          <w:bCs/>
          <w:i w:val="0"/>
          <w:iCs w:val="0"/>
          <w:caps w:val="0"/>
          <w:color w:val="auto"/>
          <w:spacing w:val="0"/>
          <w:sz w:val="31"/>
          <w:szCs w:val="31"/>
          <w:highlight w:val="none"/>
          <w:shd w:val="clear" w:fill="FFFFFF"/>
          <w:lang w:val="en-US" w:eastAsia="zh-CN"/>
        </w:rPr>
        <w:t>12</w:t>
      </w:r>
      <w:r>
        <w:rPr>
          <w:rStyle w:val="21"/>
          <w:rFonts w:hint="eastAsia" w:ascii="仿宋" w:hAnsi="仿宋" w:eastAsia="仿宋" w:cs="仿宋"/>
          <w:b/>
          <w:bCs/>
          <w:i w:val="0"/>
          <w:iCs w:val="0"/>
          <w:caps w:val="0"/>
          <w:color w:val="auto"/>
          <w:spacing w:val="0"/>
          <w:sz w:val="31"/>
          <w:szCs w:val="31"/>
          <w:highlight w:val="none"/>
          <w:shd w:val="clear" w:fill="FFFFFF"/>
        </w:rPr>
        <w:t>.住房保障支出（类）住房改革支出（款）住房公积金（项）:</w:t>
      </w:r>
      <w:r>
        <w:rPr>
          <w:rFonts w:hint="eastAsia" w:ascii="仿宋" w:hAnsi="仿宋" w:eastAsia="仿宋" w:cs="仿宋"/>
          <w:i w:val="0"/>
          <w:iCs w:val="0"/>
          <w:caps w:val="0"/>
          <w:color w:val="auto"/>
          <w:spacing w:val="0"/>
          <w:sz w:val="31"/>
          <w:szCs w:val="31"/>
          <w:highlight w:val="none"/>
          <w:shd w:val="clear" w:fill="FFFFFF"/>
        </w:rPr>
        <w:t>支出决算为</w:t>
      </w:r>
      <w:r>
        <w:rPr>
          <w:rFonts w:hint="eastAsia" w:ascii="仿宋" w:hAnsi="仿宋" w:eastAsia="仿宋" w:cs="仿宋"/>
          <w:i w:val="0"/>
          <w:iCs w:val="0"/>
          <w:caps w:val="0"/>
          <w:color w:val="auto"/>
          <w:spacing w:val="0"/>
          <w:sz w:val="31"/>
          <w:szCs w:val="31"/>
          <w:highlight w:val="none"/>
          <w:shd w:val="clear" w:fill="FFFFFF"/>
          <w:lang w:val="en-US" w:eastAsia="zh-CN"/>
        </w:rPr>
        <w:t>20.94</w:t>
      </w:r>
      <w:r>
        <w:rPr>
          <w:rFonts w:hint="eastAsia" w:ascii="仿宋" w:hAnsi="仿宋" w:eastAsia="仿宋" w:cs="仿宋"/>
          <w:i w:val="0"/>
          <w:iCs w:val="0"/>
          <w:caps w:val="0"/>
          <w:color w:val="auto"/>
          <w:spacing w:val="0"/>
          <w:sz w:val="31"/>
          <w:szCs w:val="31"/>
          <w:highlight w:val="none"/>
          <w:shd w:val="clear" w:fill="FFFFFF"/>
        </w:rPr>
        <w:t>万元，完成预算100%。</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pageBreakBefore w:val="0"/>
        <w:widowControl w:val="0"/>
        <w:tabs>
          <w:tab w:val="right" w:pos="8306"/>
        </w:tabs>
        <w:kinsoku/>
        <w:wordWrap/>
        <w:topLinePunct w:val="0"/>
        <w:autoSpaceDE/>
        <w:autoSpaceDN/>
        <w:bidi w:val="0"/>
        <w:spacing w:line="600" w:lineRule="exact"/>
        <w:ind w:left="0" w:leftChars="0" w:firstLine="640"/>
        <w:outlineLvl w:val="1"/>
        <w:rPr>
          <w:rStyle w:val="33"/>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34"/>
      <w:bookmarkEnd w:id="35"/>
      <w:r>
        <w:rPr>
          <w:rStyle w:val="33"/>
          <w:rFonts w:ascii="Times New Roman" w:hAnsi="Times New Roman" w:eastAsia="黑体"/>
          <w:b w:val="0"/>
          <w:color w:val="auto"/>
          <w:highlight w:val="none"/>
        </w:rPr>
        <w:tab/>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color w:val="auto"/>
          <w:sz w:val="32"/>
          <w:szCs w:val="32"/>
          <w:highlight w:val="none"/>
        </w:rPr>
        <w:t>312.97</w:t>
      </w:r>
      <w:r>
        <w:rPr>
          <w:rFonts w:hint="eastAsia" w:ascii="Times New Roman" w:hAnsi="Times New Roman" w:eastAsia="仿宋_GB2312" w:cs="仿宋_GB2312"/>
          <w:color w:val="auto"/>
          <w:kern w:val="2"/>
          <w:sz w:val="32"/>
          <w:szCs w:val="32"/>
          <w:highlight w:val="none"/>
          <w:lang w:val="en-US" w:eastAsia="zh-CN" w:bidi="ar-SA"/>
        </w:rPr>
        <w:t>万元，其中：</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color w:val="auto"/>
          <w:sz w:val="32"/>
          <w:szCs w:val="32"/>
          <w:highlight w:val="none"/>
        </w:rPr>
        <w:t>274.26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万元，主要包括：基本工资、津贴补贴、奖金、绩效工资、机关事业单位基本养老保险缴费、其他社会保障缴费、其他工资福利支出、生活补助、住房公积金、其他对个人和家庭的补助支出等。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color w:val="auto"/>
          <w:sz w:val="32"/>
          <w:szCs w:val="32"/>
          <w:highlight w:val="none"/>
        </w:rPr>
        <w:t>38.71</w:t>
      </w:r>
      <w:r>
        <w:rPr>
          <w:rFonts w:hint="eastAsia" w:ascii="Times New Roman" w:hAnsi="Times New Roman" w:eastAsia="仿宋_GB2312" w:cs="仿宋_GB2312"/>
          <w:color w:val="auto"/>
          <w:kern w:val="2"/>
          <w:sz w:val="32"/>
          <w:szCs w:val="32"/>
          <w:highlight w:val="none"/>
          <w:lang w:val="en-US" w:eastAsia="zh-CN" w:bidi="ar-SA"/>
        </w:rPr>
        <w:t>万元，主要包括：办公费、印刷费、邮电费、差旅费、维修（护）费、会议费、公务接待费、劳务费、委托业务费、工会经费、福利费、公务用车运行维护费、其他交通费、其他商品和服务支出等。</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pageBreakBefore w:val="0"/>
        <w:widowControl w:val="0"/>
        <w:kinsoku/>
        <w:wordWrap/>
        <w:topLinePunct w:val="0"/>
        <w:autoSpaceDE/>
        <w:autoSpaceDN/>
        <w:bidi w:val="0"/>
        <w:spacing w:line="600" w:lineRule="exact"/>
        <w:ind w:left="0" w:leftChars="0" w:firstLine="640"/>
        <w:outlineLvl w:val="1"/>
        <w:rPr>
          <w:rStyle w:val="33"/>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ascii="Times New Roman" w:hAnsi="Times New Roman" w:eastAsia="黑体"/>
          <w:color w:val="auto"/>
          <w:highlight w:val="none"/>
        </w:rPr>
        <w:t>“</w:t>
      </w:r>
      <w:r>
        <w:rPr>
          <w:rStyle w:val="33"/>
          <w:rFonts w:hint="eastAsia" w:ascii="Times New Roman" w:hAnsi="Times New Roman" w:eastAsia="黑体"/>
          <w:b w:val="0"/>
          <w:color w:val="auto"/>
          <w:highlight w:val="none"/>
        </w:rPr>
        <w:t>三公”经费支出决算情况说明</w:t>
      </w:r>
      <w:bookmarkEnd w:id="36"/>
      <w:bookmarkEnd w:id="37"/>
    </w:p>
    <w:p>
      <w:pPr>
        <w:pageBreakBefore w:val="0"/>
        <w:widowControl w:val="0"/>
        <w:kinsoku/>
        <w:wordWrap/>
        <w:topLinePunct w:val="0"/>
        <w:autoSpaceDE/>
        <w:autoSpaceDN/>
        <w:bidi w:val="0"/>
        <w:spacing w:line="600" w:lineRule="exact"/>
        <w:ind w:left="0" w:leftChars="0"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pPr>
        <w:pageBreakBefore w:val="0"/>
        <w:widowControl w:val="0"/>
        <w:kinsoku/>
        <w:wordWrap/>
        <w:topLinePunct w:val="0"/>
        <w:autoSpaceDE/>
        <w:autoSpaceDN/>
        <w:bidi w:val="0"/>
        <w:spacing w:line="600" w:lineRule="exact"/>
        <w:ind w:left="0" w:leftChars="0"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color w:val="auto"/>
          <w:sz w:val="32"/>
          <w:szCs w:val="32"/>
          <w:highlight w:val="none"/>
        </w:rPr>
        <w:t>3.18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color w:val="auto"/>
          <w:sz w:val="32"/>
          <w:szCs w:val="32"/>
          <w:highlight w:val="none"/>
        </w:rPr>
        <w:t>39.74</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2.46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43.57</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厉行勤俭节约，减少“三公”经费开支。</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pageBreakBefore w:val="0"/>
        <w:widowControl w:val="0"/>
        <w:kinsoku/>
        <w:wordWrap/>
        <w:topLinePunct w:val="0"/>
        <w:autoSpaceDE/>
        <w:autoSpaceDN/>
        <w:bidi w:val="0"/>
        <w:spacing w:line="600" w:lineRule="exact"/>
        <w:ind w:left="0" w:leftChars="0"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万元，占**%；公务用车购置及运行维护费支出决算</w:t>
      </w:r>
      <w:r>
        <w:rPr>
          <w:rFonts w:hint="eastAsia" w:ascii="仿宋_GB2312" w:hAnsi="仿宋_GB2312" w:eastAsia="仿宋_GB2312" w:cs="仿宋_GB2312"/>
          <w:color w:val="auto"/>
          <w:sz w:val="32"/>
          <w:szCs w:val="32"/>
          <w:highlight w:val="none"/>
        </w:rPr>
        <w:t>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94.34</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color w:val="auto"/>
          <w:sz w:val="32"/>
          <w:szCs w:val="32"/>
          <w:highlight w:val="none"/>
        </w:rPr>
        <w:t>0.18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5.66</w:t>
      </w:r>
      <w:r>
        <w:rPr>
          <w:rFonts w:hint="eastAsia" w:ascii="Times New Roman" w:hAnsi="Times New Roman" w:eastAsia="仿宋_GB2312" w:cs="仿宋_GB2312"/>
          <w:color w:val="auto"/>
          <w:kern w:val="2"/>
          <w:sz w:val="32"/>
          <w:szCs w:val="32"/>
          <w:highlight w:val="none"/>
          <w:lang w:val="en-US" w:eastAsia="zh-CN" w:bidi="ar-SA"/>
        </w:rPr>
        <w:t>%。具体情况如下：</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Style w:val="16"/>
        <w:pageBreakBefore w:val="0"/>
        <w:widowControl w:val="0"/>
        <w:kinsoku/>
        <w:wordWrap/>
        <w:topLinePunct w:val="0"/>
        <w:autoSpaceDE/>
        <w:autoSpaceDN/>
        <w:bidi w:val="0"/>
        <w:ind w:left="640" w:leftChars="0"/>
        <w:rPr>
          <w:rFonts w:hint="eastAsia"/>
          <w:color w:val="auto"/>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pict>
          <v:shape id="_x0000_s1032" o:spid="_x0000_s1032" o:spt="75" type="#_x0000_t75" style="position:absolute;left:0pt;margin-left:9.15pt;margin-top:6pt;height:162.05pt;width:424.65pt;z-index:251665408;mso-width-relative:page;mso-height-relative:page;" o:ole="t" filled="f" o:preferrelative="t" stroked="f" coordsize="21600,21600">
            <v:path/>
            <v:fill on="f" focussize="0,0"/>
            <v:stroke on="f"/>
            <v:imagedata r:id="rId22" o:title=""/>
            <o:lock v:ext="edit" aspectratio="t"/>
          </v:shape>
          <o:OLEObject Type="Embed" ProgID="Excel.Sheet.12" ShapeID="_x0000_s1032" DrawAspect="Content" ObjectID="_1468075731" r:id="rId21">
            <o:LockedField>false</o:LockedField>
          </o:OLEObject>
        </w:pic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50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2.29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43.35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厉行勤俭节约，减少“三公”经费开支。</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color w:val="auto"/>
          <w:sz w:val="32"/>
          <w:szCs w:val="32"/>
          <w:highlight w:val="none"/>
        </w:rPr>
        <w:t>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到省妇联及各区县汇报工作、开展慰问、进行调研、参加会议等工作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0.18</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9</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46.86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厉行勤俭节约，减少“三公”经费开支。</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其中：国内公务接待支出</w:t>
      </w:r>
      <w:r>
        <w:rPr>
          <w:rFonts w:hint="eastAsia" w:ascii="仿宋_GB2312" w:hAnsi="仿宋_GB2312" w:eastAsia="仿宋_GB2312" w:cs="仿宋_GB2312"/>
          <w:color w:val="auto"/>
          <w:sz w:val="32"/>
          <w:szCs w:val="32"/>
          <w:highlight w:val="none"/>
        </w:rPr>
        <w:t>0.18</w:t>
      </w:r>
      <w:r>
        <w:rPr>
          <w:rFonts w:hint="eastAsia" w:ascii="Times New Roman" w:hAnsi="Times New Roman" w:eastAsia="仿宋_GB2312" w:cs="仿宋_GB2312"/>
          <w:color w:val="auto"/>
          <w:kern w:val="2"/>
          <w:sz w:val="32"/>
          <w:szCs w:val="32"/>
          <w:highlight w:val="none"/>
          <w:lang w:val="en-US" w:eastAsia="zh-CN" w:bidi="ar-SA"/>
        </w:rPr>
        <w:t>万元，主要用</w:t>
      </w:r>
      <w:r>
        <w:rPr>
          <w:rFonts w:hint="eastAsia" w:eastAsia="仿宋_GB2312" w:cs="仿宋_GB2312"/>
          <w:color w:val="auto"/>
          <w:kern w:val="2"/>
          <w:sz w:val="32"/>
          <w:szCs w:val="32"/>
          <w:highlight w:val="none"/>
          <w:lang w:val="en-US" w:eastAsia="zh-CN" w:bidi="ar-SA"/>
        </w:rPr>
        <w:t>于接待省妇联来遂人员开展业务活动开支的</w:t>
      </w:r>
      <w:r>
        <w:rPr>
          <w:rFonts w:hint="eastAsia" w:ascii="Times New Roman" w:hAnsi="Times New Roman" w:eastAsia="仿宋_GB2312" w:cs="仿宋_GB2312"/>
          <w:color w:val="auto"/>
          <w:kern w:val="2"/>
          <w:sz w:val="32"/>
          <w:szCs w:val="32"/>
          <w:highlight w:val="none"/>
          <w:lang w:val="en-US" w:eastAsia="zh-CN" w:bidi="ar-SA"/>
        </w:rPr>
        <w:t>交通费、用餐费等</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color w:val="auto"/>
          <w:sz w:val="32"/>
          <w:szCs w:val="32"/>
          <w:highlight w:val="none"/>
        </w:rPr>
        <w:t>3</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color w:val="auto"/>
          <w:sz w:val="32"/>
          <w:szCs w:val="32"/>
          <w:highlight w:val="none"/>
        </w:rPr>
        <w:t>15</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接待省妇联来遂指导巡讲活动0.04万元，省妇联主席来遂走访慰问0.08万元等</w:t>
      </w:r>
      <w:r>
        <w:rPr>
          <w:rFonts w:hint="eastAsia" w:ascii="Times New Roman" w:hAnsi="Times New Roman" w:eastAsia="仿宋_GB2312" w:cs="仿宋_GB2312"/>
          <w:color w:val="auto"/>
          <w:kern w:val="2"/>
          <w:sz w:val="32"/>
          <w:szCs w:val="32"/>
          <w:highlight w:val="none"/>
          <w:lang w:val="en-US" w:eastAsia="zh-CN" w:bidi="ar-SA"/>
        </w:rPr>
        <w:t>（接待具体项目、金额）。</w:t>
      </w:r>
    </w:p>
    <w:p>
      <w:pPr>
        <w:pageBreakBefore w:val="0"/>
        <w:widowControl w:val="0"/>
        <w:kinsoku/>
        <w:wordWrap/>
        <w:topLinePunct w:val="0"/>
        <w:autoSpaceDE/>
        <w:autoSpaceDN/>
        <w:bidi w:val="0"/>
        <w:spacing w:line="600" w:lineRule="exact"/>
        <w:ind w:left="0" w:leftChars="0" w:firstLine="640"/>
        <w:outlineLvl w:val="1"/>
        <w:rPr>
          <w:rStyle w:val="33"/>
          <w:rFonts w:ascii="Times New Roman" w:hAnsi="Times New Roman" w:eastAsia="黑体"/>
          <w:color w:val="auto"/>
          <w:highlight w:val="none"/>
        </w:rPr>
      </w:pPr>
      <w:bookmarkStart w:id="40" w:name="_Toc15396610"/>
      <w:bookmarkStart w:id="41" w:name="_Toc15377218"/>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40"/>
      <w:bookmarkEnd w:id="41"/>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pageBreakBefore w:val="0"/>
        <w:widowControl w:val="0"/>
        <w:numPr>
          <w:ilvl w:val="0"/>
          <w:numId w:val="0"/>
        </w:numPr>
        <w:kinsoku/>
        <w:wordWrap/>
        <w:topLinePunct w:val="0"/>
        <w:autoSpaceDE/>
        <w:autoSpaceDN/>
        <w:bidi w:val="0"/>
        <w:spacing w:line="600" w:lineRule="exact"/>
        <w:ind w:left="0" w:leftChars="0" w:firstLine="640" w:firstLineChars="200"/>
        <w:outlineLvl w:val="1"/>
        <w:rPr>
          <w:rStyle w:val="33"/>
          <w:rFonts w:ascii="Times New Roman" w:hAnsi="Times New Roman" w:eastAsia="黑体"/>
          <w:b w:val="0"/>
          <w:color w:val="auto"/>
          <w:highlight w:val="none"/>
        </w:rPr>
      </w:pPr>
      <w:bookmarkStart w:id="42" w:name="_Toc15377219"/>
      <w:bookmarkStart w:id="43" w:name="_Toc15396611"/>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42"/>
      <w:bookmarkEnd w:id="43"/>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pageBreakBefore w:val="0"/>
        <w:widowControl w:val="0"/>
        <w:numPr>
          <w:ilvl w:val="0"/>
          <w:numId w:val="0"/>
        </w:numPr>
        <w:kinsoku/>
        <w:wordWrap/>
        <w:topLinePunct w:val="0"/>
        <w:autoSpaceDE/>
        <w:autoSpaceDN/>
        <w:bidi w:val="0"/>
        <w:spacing w:line="600" w:lineRule="exact"/>
        <w:ind w:left="0" w:leftChars="0" w:firstLine="640" w:firstLineChars="200"/>
        <w:outlineLvl w:val="1"/>
        <w:rPr>
          <w:rStyle w:val="33"/>
          <w:rFonts w:hint="eastAsia" w:ascii="Times New Roman" w:hAnsi="Times New Roman" w:eastAsia="黑体"/>
          <w:b w:val="0"/>
          <w:color w:val="auto"/>
          <w:highlight w:val="none"/>
        </w:rPr>
      </w:pPr>
      <w:bookmarkStart w:id="44" w:name="_Toc15377221"/>
      <w:bookmarkStart w:id="45" w:name="_Toc15396612"/>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44"/>
      <w:bookmarkEnd w:id="45"/>
    </w:p>
    <w:p>
      <w:pPr>
        <w:pageBreakBefore w:val="0"/>
        <w:widowControl w:val="0"/>
        <w:kinsoku/>
        <w:wordWrap/>
        <w:topLinePunct w:val="0"/>
        <w:autoSpaceDE/>
        <w:autoSpaceDN/>
        <w:bidi w:val="0"/>
        <w:spacing w:line="600" w:lineRule="exact"/>
        <w:ind w:left="0" w:leftChars="0"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遂宁市妇女联合会</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color w:val="auto"/>
          <w:sz w:val="32"/>
          <w:szCs w:val="32"/>
          <w:highlight w:val="none"/>
        </w:rPr>
        <w:t>38.71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6.81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14.96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厉行勤俭节约，减少公用经费开支。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pageBreakBefore w:val="0"/>
        <w:widowControl w:val="0"/>
        <w:kinsoku/>
        <w:wordWrap/>
        <w:topLinePunct w:val="0"/>
        <w:autoSpaceDE/>
        <w:autoSpaceDN/>
        <w:bidi w:val="0"/>
        <w:spacing w:line="600" w:lineRule="exact"/>
        <w:ind w:left="0" w:leftChars="0"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遂宁市妇女联合会</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color w:val="auto"/>
          <w:sz w:val="32"/>
          <w:szCs w:val="32"/>
          <w:highlight w:val="none"/>
        </w:rPr>
        <w:t>61.48</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bookmarkStart w:id="68" w:name="_GoBack"/>
      <w:bookmarkEnd w:id="68"/>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color w:val="auto"/>
          <w:sz w:val="32"/>
          <w:szCs w:val="32"/>
          <w:highlight w:val="none"/>
        </w:rPr>
        <w:t>61.48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主要用于政府购买家庭教育指导服务项目。</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color w:val="auto"/>
          <w:sz w:val="32"/>
          <w:szCs w:val="32"/>
          <w:highlight w:val="none"/>
        </w:rPr>
        <w:t>61.48</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highlight w:val="none"/>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w:t>
      </w:r>
    </w:p>
    <w:p>
      <w:pPr>
        <w:pageBreakBefore w:val="0"/>
        <w:widowControl w:val="0"/>
        <w:kinsoku/>
        <w:wordWrap/>
        <w:topLinePunct w:val="0"/>
        <w:autoSpaceDE/>
        <w:autoSpaceDN/>
        <w:bidi w:val="0"/>
        <w:spacing w:line="600" w:lineRule="exact"/>
        <w:ind w:left="0" w:leftChars="0"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color w:val="auto"/>
          <w:sz w:val="32"/>
          <w:szCs w:val="32"/>
          <w:highlight w:val="none"/>
        </w:rPr>
        <w:t>遂宁市妇女联合会</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color w:val="auto"/>
          <w:sz w:val="32"/>
          <w:szCs w:val="32"/>
          <w:highlight w:val="none"/>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color w:val="auto"/>
          <w:sz w:val="32"/>
          <w:szCs w:val="32"/>
          <w:highlight w:val="none"/>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color w:val="auto"/>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台（套）。</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highlight w:val="none"/>
          <w:lang w:val="en-US" w:eastAsia="zh-CN"/>
        </w:rPr>
      </w:pPr>
    </w:p>
    <w:p>
      <w:pPr>
        <w:pageBreakBefore w:val="0"/>
        <w:widowControl w:val="0"/>
        <w:numPr>
          <w:ilvl w:val="0"/>
          <w:numId w:val="0"/>
        </w:numPr>
        <w:kinsoku/>
        <w:wordWrap/>
        <w:topLinePunct w:val="0"/>
        <w:autoSpaceDE/>
        <w:autoSpaceDN/>
        <w:bidi w:val="0"/>
        <w:spacing w:line="600" w:lineRule="exact"/>
        <w:ind w:left="0" w:leftChars="0"/>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pPr>
        <w:pageBreakBefore w:val="0"/>
        <w:widowControl w:val="0"/>
        <w:kinsoku/>
        <w:wordWrap/>
        <w:topLinePunct w:val="0"/>
        <w:autoSpaceDE/>
        <w:autoSpaceDN/>
        <w:bidi w:val="0"/>
        <w:spacing w:line="600" w:lineRule="exact"/>
        <w:ind w:left="0" w:leftChars="0"/>
        <w:jc w:val="left"/>
        <w:rPr>
          <w:rFonts w:ascii="Times New Roman" w:hAnsi="Times New Roman"/>
          <w:b/>
          <w:color w:val="auto"/>
          <w:sz w:val="44"/>
          <w:szCs w:val="44"/>
          <w:highlight w:val="none"/>
        </w:rPr>
      </w:pP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widowControl w:val="0"/>
        <w:kinsoku/>
        <w:wordWrap/>
        <w:topLinePunct w:val="0"/>
        <w:autoSpaceDE/>
        <w:autoSpaceDN/>
        <w:bidi w:val="0"/>
        <w:spacing w:line="600" w:lineRule="exact"/>
        <w:ind w:left="0" w:leftChars="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widowControl w:val="0"/>
        <w:kinsoku/>
        <w:wordWrap/>
        <w:topLinePunct w:val="0"/>
        <w:autoSpaceDE/>
        <w:autoSpaceDN/>
        <w:bidi w:val="0"/>
        <w:spacing w:line="600" w:lineRule="exact"/>
        <w:ind w:left="0" w:leftChars="0"/>
        <w:jc w:val="center"/>
        <w:rPr>
          <w:rStyle w:val="32"/>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pPr>
        <w:keepNext w:val="0"/>
        <w:keepLines w:val="0"/>
        <w:pageBreakBefore w:val="0"/>
        <w:widowControl w:val="0"/>
        <w:kinsoku/>
        <w:wordWrap/>
        <w:overflowPunct/>
        <w:topLinePunct w:val="0"/>
        <w:autoSpaceDE/>
        <w:autoSpaceDN/>
        <w:bidi w:val="0"/>
        <w:spacing w:line="572" w:lineRule="exact"/>
        <w:ind w:left="0" w:leftChars="0"/>
        <w:jc w:val="left"/>
        <w:textAlignment w:val="auto"/>
        <w:outlineLvl w:val="0"/>
        <w:rPr>
          <w:rFonts w:hint="eastAsia" w:ascii="Times New Roman" w:hAnsi="Times New Roman" w:eastAsia="黑体" w:cs="黑体"/>
          <w:color w:val="auto"/>
          <w:sz w:val="32"/>
          <w:szCs w:val="32"/>
          <w:highlight w:val="none"/>
        </w:rPr>
      </w:pPr>
    </w:p>
    <w:p>
      <w:pPr>
        <w:keepNext w:val="0"/>
        <w:keepLines w:val="0"/>
        <w:pageBreakBefore w:val="0"/>
        <w:widowControl w:val="0"/>
        <w:kinsoku/>
        <w:wordWrap/>
        <w:overflowPunct/>
        <w:topLinePunct w:val="0"/>
        <w:autoSpaceDE/>
        <w:autoSpaceDN/>
        <w:bidi w:val="0"/>
        <w:spacing w:line="578" w:lineRule="exact"/>
        <w:ind w:left="0" w:leftChars="0"/>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r>
        <w:rPr>
          <w:rFonts w:hint="default" w:ascii="Times New Roman" w:hAnsi="Times New Roman" w:eastAsia="方正小标宋简体" w:cs="Times New Roman"/>
          <w:b w:val="0"/>
          <w:bCs/>
          <w:color w:val="auto"/>
          <w:sz w:val="44"/>
          <w:szCs w:val="44"/>
          <w:highlight w:val="none"/>
          <w:shd w:val="clear" w:color="auto" w:fill="FFFFFF"/>
        </w:rPr>
        <w:t>部门</w:t>
      </w:r>
      <w:r>
        <w:rPr>
          <w:rFonts w:hint="default" w:ascii="Times New Roman" w:hAnsi="Times New Roman" w:eastAsia="方正小标宋简体" w:cs="Times New Roman"/>
          <w:b w:val="0"/>
          <w:bCs/>
          <w:color w:val="auto"/>
          <w:sz w:val="44"/>
          <w:szCs w:val="44"/>
          <w:highlight w:val="none"/>
          <w:shd w:val="clear" w:color="auto" w:fill="FFFFFF"/>
          <w:lang w:eastAsia="zh-CN"/>
        </w:rPr>
        <w:t>预算</w:t>
      </w:r>
      <w:r>
        <w:rPr>
          <w:rFonts w:hint="default" w:ascii="Times New Roman" w:hAnsi="Times New Roman" w:eastAsia="方正小标宋简体" w:cs="Times New Roman"/>
          <w:b w:val="0"/>
          <w:bCs/>
          <w:color w:val="auto"/>
          <w:sz w:val="44"/>
          <w:szCs w:val="44"/>
          <w:highlight w:val="none"/>
          <w:shd w:val="clear" w:color="auto" w:fill="FFFFFF"/>
        </w:rPr>
        <w:t>绩效</w:t>
      </w:r>
      <w:r>
        <w:rPr>
          <w:rFonts w:hint="eastAsia" w:ascii="Times New Roman" w:hAnsi="Times New Roman" w:eastAsia="方正小标宋简体" w:cs="Times New Roman"/>
          <w:b w:val="0"/>
          <w:bCs/>
          <w:color w:val="auto"/>
          <w:sz w:val="44"/>
          <w:szCs w:val="44"/>
          <w:highlight w:val="none"/>
          <w:shd w:val="clear" w:color="auto" w:fill="FFFFFF"/>
          <w:lang w:eastAsia="zh-CN"/>
        </w:rPr>
        <w:t>评价</w:t>
      </w:r>
      <w:r>
        <w:rPr>
          <w:rFonts w:hint="default" w:ascii="Times New Roman" w:hAnsi="Times New Roman" w:eastAsia="方正小标宋简体" w:cs="Times New Roman"/>
          <w:b w:val="0"/>
          <w:bCs/>
          <w:color w:val="auto"/>
          <w:sz w:val="44"/>
          <w:szCs w:val="44"/>
          <w:highlight w:val="none"/>
          <w:shd w:val="clear" w:color="auto" w:fill="FFFFFF"/>
        </w:rPr>
        <w:t>报告</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480" w:firstLineChars="200"/>
        <w:contextualSpacing/>
        <w:jc w:val="left"/>
        <w:textAlignment w:val="auto"/>
        <w:outlineLvl w:val="9"/>
        <w:rPr>
          <w:rFonts w:hint="default" w:ascii="Times New Roman" w:hAnsi="Times New Roman" w:eastAsia="黑体" w:cs="Times New Roman"/>
          <w:color w:val="auto"/>
          <w:kern w:val="0"/>
          <w:sz w:val="24"/>
          <w:szCs w:val="32"/>
          <w:highlight w:val="none"/>
          <w:shd w:val="clear" w:color="auto" w:fill="FFFFFF"/>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rPr>
      </w:pPr>
      <w:r>
        <w:rPr>
          <w:rFonts w:hint="eastAsia" w:ascii="Times New Roman" w:hAnsi="Times New Roman" w:eastAsia="黑体" w:cs="Times New Roman"/>
          <w:color w:val="auto"/>
          <w:kern w:val="0"/>
          <w:sz w:val="32"/>
          <w:szCs w:val="32"/>
          <w:highlight w:val="none"/>
          <w:shd w:val="clear" w:color="auto" w:fill="FFFFFF"/>
          <w:lang w:val="zh-CN"/>
        </w:rPr>
        <w:t>一、</w:t>
      </w:r>
      <w:r>
        <w:rPr>
          <w:rFonts w:hint="default" w:ascii="Times New Roman" w:hAnsi="Times New Roman" w:eastAsia="黑体" w:cs="Times New Roman"/>
          <w:color w:val="auto"/>
          <w:kern w:val="0"/>
          <w:sz w:val="32"/>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3" w:firstLineChars="200"/>
        <w:rPr>
          <w:rFonts w:hint="eastAsia" w:ascii="方正小标宋_GBK" w:hAnsi="方正小标宋_GBK" w:eastAsia="方正小标宋_GBK" w:cs="方正小标宋_GBK"/>
          <w:color w:val="auto"/>
          <w:sz w:val="44"/>
          <w:szCs w:val="44"/>
          <w:highlight w:val="none"/>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default" w:ascii="Times New Roman" w:hAnsi="Times New Roman" w:eastAsia="仿宋_GB2312" w:cs="Times New Roman"/>
          <w:b w:val="0"/>
          <w:bCs w:val="0"/>
          <w:color w:val="auto"/>
          <w:kern w:val="2"/>
          <w:sz w:val="32"/>
          <w:szCs w:val="32"/>
          <w:highlight w:val="none"/>
        </w:rPr>
        <w:t>市</w:t>
      </w:r>
      <w:r>
        <w:rPr>
          <w:rFonts w:hint="default" w:ascii="Times New Roman" w:hAnsi="Times New Roman" w:eastAsia="仿宋_GB2312" w:cs="Times New Roman"/>
          <w:b w:val="0"/>
          <w:bCs w:val="0"/>
          <w:color w:val="auto"/>
          <w:kern w:val="2"/>
          <w:sz w:val="32"/>
          <w:szCs w:val="32"/>
          <w:highlight w:val="none"/>
          <w:lang w:eastAsia="zh-CN"/>
        </w:rPr>
        <w:t>妇联</w:t>
      </w:r>
      <w:r>
        <w:rPr>
          <w:rFonts w:hint="default" w:ascii="Times New Roman" w:hAnsi="Times New Roman" w:eastAsia="仿宋_GB2312" w:cs="Times New Roman"/>
          <w:b w:val="0"/>
          <w:bCs w:val="0"/>
          <w:color w:val="auto"/>
          <w:kern w:val="2"/>
          <w:sz w:val="32"/>
          <w:szCs w:val="32"/>
          <w:highlight w:val="none"/>
        </w:rPr>
        <w:t>机关下设办公室、</w:t>
      </w:r>
      <w:r>
        <w:rPr>
          <w:rFonts w:hint="eastAsia" w:eastAsia="仿宋_GB2312" w:cs="Times New Roman"/>
          <w:b w:val="0"/>
          <w:bCs w:val="0"/>
          <w:color w:val="auto"/>
          <w:kern w:val="2"/>
          <w:sz w:val="32"/>
          <w:szCs w:val="32"/>
          <w:highlight w:val="none"/>
          <w:lang w:eastAsia="zh-CN"/>
        </w:rPr>
        <w:t>组织</w:t>
      </w:r>
      <w:r>
        <w:rPr>
          <w:rFonts w:hint="default" w:ascii="Times New Roman" w:hAnsi="Times New Roman" w:eastAsia="仿宋_GB2312" w:cs="Times New Roman"/>
          <w:b w:val="0"/>
          <w:bCs w:val="0"/>
          <w:color w:val="auto"/>
          <w:kern w:val="2"/>
          <w:sz w:val="32"/>
          <w:szCs w:val="32"/>
          <w:highlight w:val="none"/>
          <w:lang w:eastAsia="zh-CN"/>
        </w:rPr>
        <w:t>宣</w:t>
      </w:r>
      <w:r>
        <w:rPr>
          <w:rFonts w:hint="eastAsia" w:eastAsia="仿宋_GB2312" w:cs="Times New Roman"/>
          <w:b w:val="0"/>
          <w:bCs w:val="0"/>
          <w:color w:val="auto"/>
          <w:kern w:val="2"/>
          <w:sz w:val="32"/>
          <w:szCs w:val="32"/>
          <w:highlight w:val="none"/>
          <w:lang w:eastAsia="zh-CN"/>
        </w:rPr>
        <w:t>传</w:t>
      </w:r>
      <w:r>
        <w:rPr>
          <w:rFonts w:hint="default" w:ascii="Times New Roman" w:hAnsi="Times New Roman" w:eastAsia="仿宋_GB2312" w:cs="Times New Roman"/>
          <w:b w:val="0"/>
          <w:bCs w:val="0"/>
          <w:color w:val="auto"/>
          <w:kern w:val="2"/>
          <w:sz w:val="32"/>
          <w:szCs w:val="32"/>
          <w:highlight w:val="none"/>
        </w:rPr>
        <w:t>部、</w:t>
      </w:r>
      <w:r>
        <w:rPr>
          <w:rFonts w:hint="eastAsia" w:eastAsia="仿宋_GB2312" w:cs="Times New Roman"/>
          <w:b w:val="0"/>
          <w:bCs w:val="0"/>
          <w:color w:val="auto"/>
          <w:kern w:val="2"/>
          <w:sz w:val="32"/>
          <w:szCs w:val="32"/>
          <w:highlight w:val="none"/>
          <w:lang w:eastAsia="zh-CN"/>
        </w:rPr>
        <w:t>妇女发展和</w:t>
      </w:r>
      <w:r>
        <w:rPr>
          <w:rFonts w:hint="default" w:ascii="Times New Roman" w:hAnsi="Times New Roman" w:eastAsia="仿宋_GB2312" w:cs="Times New Roman"/>
          <w:b w:val="0"/>
          <w:bCs w:val="0"/>
          <w:color w:val="auto"/>
          <w:sz w:val="32"/>
          <w:szCs w:val="32"/>
          <w:highlight w:val="none"/>
        </w:rPr>
        <w:t>权益部</w:t>
      </w:r>
      <w:r>
        <w:rPr>
          <w:rFonts w:hint="eastAsia" w:eastAsia="仿宋_GB2312" w:cs="Times New Roman"/>
          <w:b w:val="0"/>
          <w:bCs w:val="0"/>
          <w:color w:val="auto"/>
          <w:sz w:val="32"/>
          <w:szCs w:val="32"/>
          <w:highlight w:val="none"/>
          <w:lang w:eastAsia="zh-CN"/>
        </w:rPr>
        <w:t>、家庭和儿童工作部</w:t>
      </w:r>
      <w:r>
        <w:rPr>
          <w:rFonts w:hint="eastAsia" w:eastAsia="仿宋_GB2312" w:cs="Times New Roman"/>
          <w:b w:val="0"/>
          <w:bCs w:val="0"/>
          <w:color w:val="auto"/>
          <w:sz w:val="32"/>
          <w:szCs w:val="32"/>
          <w:highlight w:val="none"/>
          <w:lang w:val="en-US" w:eastAsia="zh-CN"/>
        </w:rPr>
        <w:t>4</w:t>
      </w:r>
      <w:r>
        <w:rPr>
          <w:rFonts w:hint="default" w:ascii="Times New Roman" w:hAnsi="Times New Roman" w:eastAsia="仿宋_GB2312" w:cs="Times New Roman"/>
          <w:b w:val="0"/>
          <w:bCs w:val="0"/>
          <w:color w:val="auto"/>
          <w:sz w:val="32"/>
          <w:szCs w:val="32"/>
          <w:highlight w:val="none"/>
        </w:rPr>
        <w:t>个部室</w:t>
      </w:r>
      <w:r>
        <w:rPr>
          <w:rFonts w:hint="default" w:ascii="Times New Roman" w:hAnsi="Times New Roman" w:eastAsia="仿宋_GB2312" w:cs="Times New Roman"/>
          <w:b w:val="0"/>
          <w:bCs w:val="0"/>
          <w:color w:val="auto"/>
          <w:kern w:val="2"/>
          <w:sz w:val="32"/>
          <w:szCs w:val="32"/>
          <w:highlight w:val="none"/>
        </w:rPr>
        <w:t>，核定行政编制</w:t>
      </w:r>
      <w:r>
        <w:rPr>
          <w:rFonts w:hint="eastAsia" w:eastAsia="仿宋_GB2312" w:cs="Times New Roman"/>
          <w:b w:val="0"/>
          <w:bCs w:val="0"/>
          <w:color w:val="auto"/>
          <w:kern w:val="2"/>
          <w:sz w:val="32"/>
          <w:szCs w:val="32"/>
          <w:highlight w:val="none"/>
          <w:lang w:val="en-US" w:eastAsia="zh-CN"/>
        </w:rPr>
        <w:t>10</w:t>
      </w:r>
      <w:r>
        <w:rPr>
          <w:rFonts w:hint="default" w:ascii="Times New Roman" w:hAnsi="Times New Roman" w:eastAsia="仿宋_GB2312" w:cs="Times New Roman"/>
          <w:b w:val="0"/>
          <w:bCs w:val="0"/>
          <w:color w:val="auto"/>
          <w:kern w:val="2"/>
          <w:sz w:val="32"/>
          <w:szCs w:val="32"/>
          <w:highlight w:val="none"/>
        </w:rPr>
        <w:t>名</w:t>
      </w:r>
      <w:r>
        <w:rPr>
          <w:rFonts w:hint="default" w:ascii="Times New Roman" w:hAnsi="Times New Roman" w:eastAsia="仿宋_GB2312" w:cs="Times New Roman"/>
          <w:b w:val="0"/>
          <w:bCs w:val="0"/>
          <w:color w:val="auto"/>
          <w:kern w:val="2"/>
          <w:sz w:val="32"/>
          <w:szCs w:val="32"/>
          <w:highlight w:val="none"/>
          <w:lang w:eastAsia="zh-CN"/>
        </w:rPr>
        <w:t>，</w:t>
      </w:r>
      <w:r>
        <w:rPr>
          <w:rFonts w:hint="default" w:ascii="Times New Roman" w:hAnsi="Times New Roman" w:eastAsia="仿宋_GB2312" w:cs="Times New Roman"/>
          <w:b w:val="0"/>
          <w:bCs w:val="0"/>
          <w:color w:val="auto"/>
          <w:kern w:val="2"/>
          <w:sz w:val="32"/>
          <w:szCs w:val="32"/>
          <w:highlight w:val="none"/>
        </w:rPr>
        <w:t>下设1个事业单位</w:t>
      </w:r>
      <w:r>
        <w:rPr>
          <w:rFonts w:hint="default" w:ascii="Times New Roman" w:hAnsi="Times New Roman" w:eastAsia="仿宋_GB2312" w:cs="Times New Roman"/>
          <w:b w:val="0"/>
          <w:bCs w:val="0"/>
          <w:color w:val="auto"/>
          <w:sz w:val="32"/>
          <w:szCs w:val="32"/>
          <w:highlight w:val="none"/>
        </w:rPr>
        <w:t>市妇女儿童活动中心</w:t>
      </w:r>
      <w:r>
        <w:rPr>
          <w:rFonts w:hint="default" w:ascii="Times New Roman" w:hAnsi="Times New Roman" w:eastAsia="仿宋_GB2312" w:cs="Times New Roman"/>
          <w:b w:val="0"/>
          <w:bCs w:val="0"/>
          <w:color w:val="auto"/>
          <w:kern w:val="2"/>
          <w:sz w:val="32"/>
          <w:szCs w:val="32"/>
          <w:highlight w:val="none"/>
        </w:rPr>
        <w:t>，核定事业编制</w:t>
      </w:r>
      <w:r>
        <w:rPr>
          <w:rFonts w:hint="default" w:ascii="Times New Roman" w:hAnsi="Times New Roman" w:eastAsia="仿宋_GB2312" w:cs="Times New Roman"/>
          <w:b w:val="0"/>
          <w:bCs w:val="0"/>
          <w:color w:val="auto"/>
          <w:kern w:val="2"/>
          <w:sz w:val="32"/>
          <w:szCs w:val="32"/>
          <w:highlight w:val="none"/>
          <w:lang w:val="en" w:eastAsia="zh-CN"/>
        </w:rPr>
        <w:t>3</w:t>
      </w:r>
      <w:r>
        <w:rPr>
          <w:rFonts w:hint="default" w:ascii="Times New Roman" w:hAnsi="Times New Roman" w:eastAsia="仿宋_GB2312" w:cs="Times New Roman"/>
          <w:b w:val="0"/>
          <w:bCs w:val="0"/>
          <w:color w:val="auto"/>
          <w:kern w:val="2"/>
          <w:sz w:val="32"/>
          <w:szCs w:val="32"/>
          <w:highlight w:val="none"/>
        </w:rPr>
        <w:t>名，现有</w:t>
      </w:r>
      <w:r>
        <w:rPr>
          <w:rFonts w:hint="default" w:ascii="Times New Roman" w:hAnsi="Times New Roman" w:eastAsia="仿宋_GB2312" w:cs="Times New Roman"/>
          <w:b w:val="0"/>
          <w:bCs w:val="0"/>
          <w:color w:val="auto"/>
          <w:kern w:val="2"/>
          <w:sz w:val="32"/>
          <w:szCs w:val="32"/>
          <w:highlight w:val="none"/>
          <w:lang w:eastAsia="zh-CN"/>
        </w:rPr>
        <w:t>主任</w:t>
      </w:r>
      <w:r>
        <w:rPr>
          <w:rFonts w:hint="default" w:ascii="Times New Roman" w:hAnsi="Times New Roman" w:eastAsia="仿宋_GB2312" w:cs="Times New Roman"/>
          <w:b w:val="0"/>
          <w:bCs w:val="0"/>
          <w:color w:val="auto"/>
          <w:kern w:val="2"/>
          <w:sz w:val="32"/>
          <w:szCs w:val="32"/>
          <w:highlight w:val="none"/>
        </w:rPr>
        <w:t>1名、</w:t>
      </w:r>
      <w:r>
        <w:rPr>
          <w:rFonts w:hint="default" w:ascii="Times New Roman" w:hAnsi="Times New Roman" w:eastAsia="仿宋_GB2312" w:cs="Times New Roman"/>
          <w:b w:val="0"/>
          <w:bCs w:val="0"/>
          <w:color w:val="auto"/>
          <w:kern w:val="2"/>
          <w:sz w:val="32"/>
          <w:szCs w:val="32"/>
          <w:highlight w:val="none"/>
          <w:lang w:eastAsia="zh-CN"/>
        </w:rPr>
        <w:t>管理八</w:t>
      </w:r>
      <w:r>
        <w:rPr>
          <w:rFonts w:hint="default" w:ascii="Times New Roman" w:hAnsi="Times New Roman" w:eastAsia="仿宋_GB2312" w:cs="Times New Roman"/>
          <w:b w:val="0"/>
          <w:bCs w:val="0"/>
          <w:color w:val="auto"/>
          <w:kern w:val="2"/>
          <w:sz w:val="32"/>
          <w:szCs w:val="32"/>
          <w:highlight w:val="none"/>
        </w:rPr>
        <w:t>级人员1名、管理九级人员</w:t>
      </w:r>
      <w:r>
        <w:rPr>
          <w:rFonts w:hint="default" w:ascii="Times New Roman" w:hAnsi="Times New Roman" w:eastAsia="仿宋_GB2312" w:cs="Times New Roman"/>
          <w:b w:val="0"/>
          <w:bCs w:val="0"/>
          <w:color w:val="auto"/>
          <w:kern w:val="2"/>
          <w:sz w:val="32"/>
          <w:szCs w:val="32"/>
          <w:highlight w:val="none"/>
          <w:lang w:val="en" w:eastAsia="zh-CN"/>
        </w:rPr>
        <w:t>1</w:t>
      </w:r>
      <w:r>
        <w:rPr>
          <w:rFonts w:hint="default" w:ascii="Times New Roman" w:hAnsi="Times New Roman" w:eastAsia="仿宋_GB2312" w:cs="Times New Roman"/>
          <w:b w:val="0"/>
          <w:bCs w:val="0"/>
          <w:color w:val="auto"/>
          <w:kern w:val="2"/>
          <w:sz w:val="32"/>
          <w:szCs w:val="32"/>
          <w:highlight w:val="none"/>
        </w:rPr>
        <w:t>名。</w:t>
      </w:r>
    </w:p>
    <w:p>
      <w:pPr>
        <w:pageBreakBefore w:val="0"/>
        <w:widowControl w:val="0"/>
        <w:numPr>
          <w:ilvl w:val="0"/>
          <w:numId w:val="0"/>
        </w:numPr>
        <w:kinsoku/>
        <w:wordWrap/>
        <w:overflowPunct w:val="0"/>
        <w:topLinePunct w:val="0"/>
        <w:autoSpaceDE/>
        <w:autoSpaceDN/>
        <w:bidi w:val="0"/>
        <w:adjustRightInd w:val="0"/>
        <w:snapToGrid w:val="0"/>
        <w:spacing w:line="600" w:lineRule="exact"/>
        <w:ind w:left="0" w:leftChars="0" w:firstLine="643" w:firstLineChars="200"/>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kern w:val="2"/>
          <w:sz w:val="32"/>
          <w:szCs w:val="32"/>
          <w:highlight w:val="none"/>
          <w:lang w:val="zh-CN" w:eastAsia="zh-CN" w:bidi="ar-SA"/>
        </w:rPr>
        <w:t>（二）</w:t>
      </w: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pageBreakBefore w:val="0"/>
        <w:widowControl w:val="0"/>
        <w:kinsoku/>
        <w:wordWrap/>
        <w:overflowPunct/>
        <w:topLinePunct w:val="0"/>
        <w:autoSpaceDE/>
        <w:autoSpaceDN/>
        <w:bidi w:val="0"/>
        <w:adjustRightInd/>
        <w:snapToGrid/>
        <w:spacing w:line="600" w:lineRule="exact"/>
        <w:ind w:left="0" w:leftChars="0" w:firstLine="640" w:firstLineChars="200"/>
        <w:rPr>
          <w:rFonts w:eastAsia="仿宋_GB2312"/>
          <w:bCs w:val="0"/>
          <w:color w:val="auto"/>
          <w:sz w:val="32"/>
          <w:szCs w:val="32"/>
          <w:highlight w:val="none"/>
        </w:rPr>
      </w:pPr>
      <w:r>
        <w:rPr>
          <w:rFonts w:hint="default" w:eastAsia="仿宋_GB2312"/>
          <w:bCs w:val="0"/>
          <w:color w:val="auto"/>
          <w:sz w:val="32"/>
          <w:szCs w:val="32"/>
          <w:highlight w:val="none"/>
          <w:lang w:val="en-US" w:eastAsia="zh-CN"/>
        </w:rPr>
        <w:t>1.</w:t>
      </w:r>
      <w:r>
        <w:rPr>
          <w:rFonts w:eastAsia="仿宋_GB2312"/>
          <w:bCs w:val="0"/>
          <w:color w:val="auto"/>
          <w:sz w:val="32"/>
          <w:szCs w:val="32"/>
          <w:highlight w:val="none"/>
        </w:rPr>
        <w:t>办公室。</w:t>
      </w:r>
      <w:r>
        <w:rPr>
          <w:rFonts w:hint="default" w:ascii="Times New Roman" w:hAnsi="Times New Roman" w:eastAsia="仿宋_GB2312" w:cs="Times New Roman"/>
          <w:bCs w:val="0"/>
          <w:color w:val="auto"/>
          <w:sz w:val="32"/>
          <w:szCs w:val="32"/>
          <w:highlight w:val="none"/>
        </w:rPr>
        <w:t>负责内外协调、政务服务、理论研究工作，负责文电运转、机关文秘、会议值班、档案、机要、保密、财务、资产、安全保卫工作。协调、督促落实市妇联工作部署要求。负责遂宁妇联网站维护、机关网络和新媒体工作。承担市妇联网上引导、动员妇女群众工作，监测、研判、应对涉及妇联组织和妇女的重要舆情。指导全市妇联系统的报刊征订工作。负责市妇联机关离退休人员服务管理工作。监督指导直属事业单位做好离退休人员服务管理工作。</w:t>
      </w:r>
    </w:p>
    <w:p>
      <w:pPr>
        <w:pageBreakBefore w:val="0"/>
        <w:widowControl w:val="0"/>
        <w:kinsoku/>
        <w:wordWrap/>
        <w:topLinePunct w:val="0"/>
        <w:autoSpaceDE/>
        <w:autoSpaceDN/>
        <w:bidi w:val="0"/>
        <w:spacing w:beforeAutospacing="0" w:afterAutospacing="0" w:line="600" w:lineRule="exact"/>
        <w:ind w:left="0" w:leftChars="0" w:firstLine="640" w:firstLineChars="200"/>
        <w:rPr>
          <w:rFonts w:eastAsia="仿宋_GB2312"/>
          <w:bCs w:val="0"/>
          <w:color w:val="auto"/>
          <w:kern w:val="2"/>
          <w:sz w:val="32"/>
          <w:szCs w:val="32"/>
          <w:highlight w:val="none"/>
        </w:rPr>
      </w:pPr>
      <w:r>
        <w:rPr>
          <w:rFonts w:hint="default" w:eastAsia="仿宋_GB2312"/>
          <w:bCs w:val="0"/>
          <w:color w:val="auto"/>
          <w:kern w:val="2"/>
          <w:sz w:val="32"/>
          <w:szCs w:val="32"/>
          <w:highlight w:val="none"/>
          <w:lang w:val="en-US" w:eastAsia="zh-CN"/>
        </w:rPr>
        <w:t>2.</w:t>
      </w:r>
      <w:r>
        <w:rPr>
          <w:rFonts w:eastAsia="仿宋_GB2312"/>
          <w:bCs w:val="0"/>
          <w:color w:val="auto"/>
          <w:kern w:val="2"/>
          <w:sz w:val="32"/>
          <w:szCs w:val="32"/>
          <w:highlight w:val="none"/>
        </w:rPr>
        <w:t>组织宣传部。负责指导和推进全市妇联系统的基层组织建设和网上妇联工作。负责新经济组织、新社会组织、新就业群体等新兴领域以及市妇联团体会员的组织建设工作。负责市妇联执委、常委和市妇女代表大会代表的联系、服务工作及市妇女代表大会和执委会的人事、选举工作。实施妇联系统干部教育培训规划，指导妇女干部教育培训工作。承担县（市、区）妇联领导班子的协管任务。协助有关部门做好培养选拔女干部工作。宣传党的路线方针政策，宣传马克思主义妇女观和男女平等的思想，宣传妇女和妇联工作，有针对性地开展妇女的思想教育工作。负责市妇联涉及的港澳台联谊、外事、统战工作。承担市妇联团体会员管理及业务指导，联系、指导全市各界妇女组织、女性社会组织开展工作。负责机关及直属单位党的建设、纪检、党风廉政建设、机构编制、干部人事、教育培训和人员出国（境）管理等工作，领导群团组织的工作。承担机关内部审计有关工作。</w:t>
      </w:r>
    </w:p>
    <w:p>
      <w:pPr>
        <w:pageBreakBefore w:val="0"/>
        <w:widowControl w:val="0"/>
        <w:kinsoku/>
        <w:wordWrap/>
        <w:overflowPunct/>
        <w:topLinePunct w:val="0"/>
        <w:autoSpaceDE/>
        <w:autoSpaceDN/>
        <w:bidi w:val="0"/>
        <w:adjustRightInd/>
        <w:snapToGrid/>
        <w:spacing w:line="600" w:lineRule="exact"/>
        <w:ind w:left="0" w:leftChars="0" w:firstLine="640" w:firstLineChars="200"/>
        <w:rPr>
          <w:rFonts w:eastAsia="仿宋_GB2312"/>
          <w:bCs w:val="0"/>
          <w:color w:val="auto"/>
          <w:sz w:val="32"/>
          <w:szCs w:val="32"/>
          <w:highlight w:val="none"/>
        </w:rPr>
      </w:pPr>
      <w:r>
        <w:rPr>
          <w:rFonts w:hint="default" w:eastAsia="仿宋_GB2312"/>
          <w:bCs w:val="0"/>
          <w:color w:val="auto"/>
          <w:sz w:val="32"/>
          <w:szCs w:val="32"/>
          <w:highlight w:val="none"/>
          <w:lang w:val="en-US" w:eastAsia="zh-CN"/>
        </w:rPr>
        <w:t>3.</w:t>
      </w:r>
      <w:r>
        <w:rPr>
          <w:rFonts w:eastAsia="仿宋_GB2312"/>
          <w:bCs w:val="0"/>
          <w:color w:val="auto"/>
          <w:sz w:val="32"/>
          <w:szCs w:val="32"/>
          <w:highlight w:val="none"/>
        </w:rPr>
        <w:t>妇女发展和权益部。动员和组织妇女参与经济建设和社会发展，开发妇女人力资源。动员和组织妇女参与文化科技培训和职业技能培训，参与推动妇女健康关爱工作。承担开展妇女巾帼建功系列活动。参与有关维护妇女儿童权益的地方性法规、规章的制定、修改和实施、监督，指导有关法制宣传教育工作。负责处理群众来信来访，接待各种渠道的妇女投诉，协助查处侵害妇女儿童权益的行为，为受侵害妇女儿童提供法律服务。指导和推动各级妇联的信访、维权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contextualSpacing w:val="0"/>
        <w:jc w:val="left"/>
        <w:textAlignment w:val="auto"/>
        <w:outlineLvl w:val="9"/>
        <w:rPr>
          <w:rFonts w:hint="default" w:ascii="Times New Roman" w:hAnsi="Times New Roman" w:eastAsia="楷体_GB2312" w:cs="Times New Roman"/>
          <w:b/>
          <w:bCs/>
          <w:color w:val="auto"/>
          <w:kern w:val="0"/>
          <w:szCs w:val="32"/>
          <w:highlight w:val="none"/>
          <w:shd w:val="clear" w:color="auto" w:fill="FFFFFF"/>
          <w:lang w:val="zh-CN"/>
        </w:rPr>
      </w:pPr>
      <w:r>
        <w:rPr>
          <w:rFonts w:hint="default" w:eastAsia="仿宋_GB2312"/>
          <w:bCs w:val="0"/>
          <w:color w:val="auto"/>
          <w:sz w:val="32"/>
          <w:szCs w:val="32"/>
          <w:highlight w:val="none"/>
          <w:lang w:val="en-US" w:eastAsia="zh-CN"/>
        </w:rPr>
        <w:t>4.</w:t>
      </w:r>
      <w:r>
        <w:rPr>
          <w:rFonts w:eastAsia="仿宋_GB2312"/>
          <w:bCs w:val="0"/>
          <w:color w:val="auto"/>
          <w:sz w:val="32"/>
          <w:szCs w:val="32"/>
          <w:highlight w:val="none"/>
        </w:rPr>
        <w:t>家庭和儿童工作部。负责妇联系统家庭文明建设工作。参与制定、实施与家庭和儿童相关的地方性法规、规章和政策。承担家庭家教家风建设工作，组织开展寻找“最美家庭”等活动。开展特殊困境儿童、农村留守儿童关爱服务等儿童保护相关工作，参与推进校外教育。承担市政府妇女儿童工作委员会的日常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default" w:ascii="Times New Roman" w:hAnsi="Times New Roman" w:cs="Times New Roman"/>
          <w:color w:val="auto"/>
          <w:szCs w:val="32"/>
          <w:highlight w:val="none"/>
        </w:rPr>
      </w:pPr>
      <w:r>
        <w:rPr>
          <w:rFonts w:hint="default"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zh-CN"/>
        </w:rPr>
        <w:t>三</w:t>
      </w:r>
      <w:r>
        <w:rPr>
          <w:rFonts w:hint="default" w:ascii="Times New Roman" w:hAnsi="Times New Roman" w:eastAsia="楷体_GB2312" w:cs="Times New Roman"/>
          <w:b/>
          <w:bCs/>
          <w:color w:val="auto"/>
          <w:kern w:val="0"/>
          <w:sz w:val="32"/>
          <w:szCs w:val="32"/>
          <w:highlight w:val="none"/>
          <w:shd w:val="clear" w:color="auto" w:fill="FFFFFF"/>
          <w:lang w:val="zh-CN"/>
        </w:rPr>
        <w:t>）人员概况</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default" w:ascii="Times New Roman" w:hAnsi="Times New Roman" w:eastAsia="仿宋_GB2312" w:cs="Times New Roman"/>
          <w:color w:val="auto"/>
          <w:sz w:val="32"/>
          <w:szCs w:val="32"/>
          <w:highlight w:val="none"/>
          <w:lang w:val="en-US" w:eastAsia="zh-CN"/>
        </w:rPr>
        <w:t>截至202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年末，</w:t>
      </w:r>
      <w:r>
        <w:rPr>
          <w:rFonts w:hint="default" w:ascii="Times New Roman" w:hAnsi="Times New Roman" w:eastAsia="仿宋_GB2312" w:cs="Times New Roman"/>
          <w:b w:val="0"/>
          <w:bCs w:val="0"/>
          <w:color w:val="auto"/>
          <w:kern w:val="2"/>
          <w:sz w:val="32"/>
          <w:szCs w:val="32"/>
          <w:highlight w:val="none"/>
        </w:rPr>
        <w:t>有主席1名、副主席2名、</w:t>
      </w:r>
      <w:r>
        <w:rPr>
          <w:rFonts w:hint="eastAsia" w:eastAsia="仿宋_GB2312" w:cs="Times New Roman"/>
          <w:b w:val="0"/>
          <w:bCs w:val="0"/>
          <w:color w:val="auto"/>
          <w:kern w:val="2"/>
          <w:sz w:val="32"/>
          <w:szCs w:val="32"/>
          <w:highlight w:val="none"/>
          <w:lang w:val="en-US" w:eastAsia="zh-CN"/>
        </w:rPr>
        <w:t>三</w:t>
      </w:r>
      <w:r>
        <w:rPr>
          <w:rFonts w:hint="default" w:ascii="Times New Roman" w:hAnsi="Times New Roman" w:eastAsia="仿宋_GB2312" w:cs="Times New Roman"/>
          <w:b w:val="0"/>
          <w:bCs w:val="0"/>
          <w:color w:val="auto"/>
          <w:kern w:val="2"/>
          <w:sz w:val="32"/>
          <w:szCs w:val="32"/>
          <w:highlight w:val="none"/>
        </w:rPr>
        <w:t>级调研员</w:t>
      </w:r>
      <w:r>
        <w:rPr>
          <w:rFonts w:hint="eastAsia" w:eastAsia="仿宋_GB2312" w:cs="Times New Roman"/>
          <w:b w:val="0"/>
          <w:bCs w:val="0"/>
          <w:color w:val="auto"/>
          <w:kern w:val="2"/>
          <w:sz w:val="32"/>
          <w:szCs w:val="32"/>
          <w:highlight w:val="none"/>
          <w:lang w:val="en-US" w:eastAsia="zh-CN"/>
        </w:rPr>
        <w:t>2</w:t>
      </w:r>
      <w:r>
        <w:rPr>
          <w:rFonts w:hint="default" w:ascii="Times New Roman" w:hAnsi="Times New Roman" w:eastAsia="仿宋_GB2312" w:cs="Times New Roman"/>
          <w:b w:val="0"/>
          <w:bCs w:val="0"/>
          <w:color w:val="auto"/>
          <w:kern w:val="2"/>
          <w:sz w:val="32"/>
          <w:szCs w:val="32"/>
          <w:highlight w:val="none"/>
        </w:rPr>
        <w:t>名、</w:t>
      </w:r>
      <w:r>
        <w:rPr>
          <w:rFonts w:hint="default" w:ascii="Times New Roman" w:hAnsi="Times New Roman" w:eastAsia="仿宋_GB2312" w:cs="Times New Roman"/>
          <w:b w:val="0"/>
          <w:bCs w:val="0"/>
          <w:color w:val="auto"/>
          <w:kern w:val="2"/>
          <w:sz w:val="32"/>
          <w:szCs w:val="32"/>
          <w:highlight w:val="none"/>
          <w:lang w:eastAsia="zh-CN"/>
        </w:rPr>
        <w:t>科级及以下干部</w:t>
      </w:r>
      <w:r>
        <w:rPr>
          <w:rFonts w:hint="eastAsia" w:eastAsia="仿宋_GB2312" w:cs="Times New Roman"/>
          <w:b w:val="0"/>
          <w:bCs w:val="0"/>
          <w:color w:val="auto"/>
          <w:kern w:val="2"/>
          <w:sz w:val="32"/>
          <w:szCs w:val="32"/>
          <w:highlight w:val="none"/>
          <w:lang w:val="en-US" w:eastAsia="zh-CN"/>
        </w:rPr>
        <w:t>5</w:t>
      </w:r>
      <w:r>
        <w:rPr>
          <w:rFonts w:hint="default" w:ascii="Times New Roman" w:hAnsi="Times New Roman" w:eastAsia="仿宋_GB2312" w:cs="Times New Roman"/>
          <w:b w:val="0"/>
          <w:bCs w:val="0"/>
          <w:color w:val="auto"/>
          <w:kern w:val="2"/>
          <w:sz w:val="32"/>
          <w:szCs w:val="32"/>
          <w:highlight w:val="none"/>
        </w:rPr>
        <w:t>名</w:t>
      </w:r>
      <w:r>
        <w:rPr>
          <w:rFonts w:hint="default" w:ascii="Times New Roman" w:hAnsi="Times New Roman" w:eastAsia="仿宋_GB2312" w:cs="Times New Roman"/>
          <w:b w:val="0"/>
          <w:bCs w:val="0"/>
          <w:color w:val="auto"/>
          <w:kern w:val="2"/>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eastAsia="zh-CN"/>
        </w:rPr>
      </w:pPr>
      <w:r>
        <w:rPr>
          <w:rFonts w:hint="default" w:ascii="Times New Roman" w:hAnsi="Times New Roman" w:eastAsia="黑体" w:cs="Times New Roman"/>
          <w:color w:val="auto"/>
          <w:kern w:val="0"/>
          <w:sz w:val="32"/>
          <w:szCs w:val="32"/>
          <w:highlight w:val="none"/>
          <w:shd w:val="clear" w:color="auto" w:fill="FFFFFF"/>
          <w:lang w:val="zh-CN" w:eastAsia="zh-CN"/>
        </w:rPr>
        <w:t>二、部门资金收支情况</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bCs/>
          <w:color w:val="auto"/>
          <w:kern w:val="0"/>
          <w:szCs w:val="32"/>
          <w:highlight w:val="none"/>
          <w:shd w:val="clear" w:color="auto" w:fill="FFFFFF"/>
          <w:lang w:val="en-US"/>
        </w:rPr>
      </w:pPr>
      <w:r>
        <w:rPr>
          <w:rFonts w:hint="default" w:ascii="Times New Roman" w:hAnsi="Times New Roman" w:eastAsia="楷体_GB2312" w:cs="Times New Roman"/>
          <w:b/>
          <w:bCs/>
          <w:color w:val="auto"/>
          <w:kern w:val="0"/>
          <w:sz w:val="32"/>
          <w:szCs w:val="32"/>
          <w:highlight w:val="none"/>
          <w:shd w:val="clear" w:color="auto" w:fill="FFFFFF"/>
          <w:lang w:val="zh-CN"/>
        </w:rPr>
        <w:t>（一）</w:t>
      </w:r>
      <w:r>
        <w:rPr>
          <w:rFonts w:hint="eastAsia" w:ascii="Times New Roman" w:hAnsi="Times New Roman" w:eastAsia="楷体_GB2312" w:cs="Times New Roman"/>
          <w:b/>
          <w:bCs/>
          <w:color w:val="auto"/>
          <w:kern w:val="0"/>
          <w:sz w:val="32"/>
          <w:szCs w:val="32"/>
          <w:highlight w:val="none"/>
          <w:shd w:val="clear" w:color="auto" w:fill="FFFFFF"/>
          <w:lang w:val="zh-CN"/>
        </w:rPr>
        <w:t>收入情况</w:t>
      </w:r>
      <w:r>
        <w:rPr>
          <w:rFonts w:hint="default" w:ascii="Times New Roman" w:hAnsi="Times New Roman" w:eastAsia="楷体_GB2312" w:cs="Times New Roman"/>
          <w:b/>
          <w:bCs/>
          <w:color w:val="auto"/>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市妇联</w:t>
      </w:r>
      <w:r>
        <w:rPr>
          <w:rFonts w:hint="eastAsia"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lang w:val="en-US" w:eastAsia="zh-CN"/>
        </w:rPr>
        <w:t>年年初预算收入</w:t>
      </w:r>
      <w:r>
        <w:rPr>
          <w:rFonts w:hint="eastAsia" w:eastAsia="仿宋_GB2312" w:cs="Times New Roman"/>
          <w:color w:val="auto"/>
          <w:sz w:val="32"/>
          <w:szCs w:val="32"/>
          <w:highlight w:val="none"/>
          <w:lang w:val="en-US" w:eastAsia="zh-CN"/>
        </w:rPr>
        <w:t>650.18万元</w:t>
      </w:r>
      <w:r>
        <w:rPr>
          <w:rFonts w:hint="eastAsia" w:ascii="Times New Roman" w:hAnsi="Times New Roman" w:eastAsia="仿宋_GB2312" w:cs="Times New Roman"/>
          <w:color w:val="auto"/>
          <w:sz w:val="32"/>
          <w:szCs w:val="32"/>
          <w:highlight w:val="none"/>
          <w:lang w:val="en-US" w:eastAsia="zh-CN"/>
        </w:rPr>
        <w:t>、决算报表收入</w:t>
      </w:r>
      <w:r>
        <w:rPr>
          <w:rFonts w:hint="eastAsia" w:eastAsia="仿宋_GB2312" w:cs="Times New Roman"/>
          <w:color w:val="auto"/>
          <w:sz w:val="32"/>
          <w:szCs w:val="32"/>
          <w:highlight w:val="none"/>
          <w:lang w:val="en-US" w:eastAsia="zh-CN"/>
        </w:rPr>
        <w:t>642.2万元</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cs="Times New Roman"/>
          <w:color w:val="auto"/>
          <w:szCs w:val="32"/>
          <w:highlight w:val="none"/>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zh-CN"/>
        </w:rPr>
        <w:t>二</w:t>
      </w:r>
      <w:r>
        <w:rPr>
          <w:rFonts w:hint="default"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zh-CN"/>
        </w:rPr>
        <w:t>支出情况</w:t>
      </w:r>
      <w:r>
        <w:rPr>
          <w:rFonts w:hint="default" w:ascii="Times New Roman" w:hAnsi="Times New Roman" w:eastAsia="楷体_GB2312" w:cs="Times New Roman"/>
          <w:b/>
          <w:bCs/>
          <w:color w:val="auto"/>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市妇联</w:t>
      </w:r>
      <w:r>
        <w:rPr>
          <w:rFonts w:hint="eastAsia"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lang w:val="en-US" w:eastAsia="zh-CN"/>
        </w:rPr>
        <w:t>年年初预算支出</w:t>
      </w:r>
      <w:r>
        <w:rPr>
          <w:rFonts w:hint="eastAsia" w:eastAsia="仿宋_GB2312" w:cs="Times New Roman"/>
          <w:color w:val="auto"/>
          <w:sz w:val="32"/>
          <w:szCs w:val="32"/>
          <w:highlight w:val="none"/>
          <w:lang w:val="en-US" w:eastAsia="zh-CN"/>
        </w:rPr>
        <w:t>650.18万元</w:t>
      </w:r>
      <w:r>
        <w:rPr>
          <w:rFonts w:hint="eastAsia" w:ascii="Times New Roman" w:hAnsi="Times New Roman" w:eastAsia="仿宋_GB2312" w:cs="Times New Roman"/>
          <w:color w:val="auto"/>
          <w:sz w:val="32"/>
          <w:szCs w:val="32"/>
          <w:highlight w:val="none"/>
          <w:lang w:val="en-US" w:eastAsia="zh-CN"/>
        </w:rPr>
        <w:t>、决算报表支出</w:t>
      </w:r>
      <w:r>
        <w:rPr>
          <w:rFonts w:hint="eastAsia" w:eastAsia="仿宋_GB2312" w:cs="Times New Roman"/>
          <w:color w:val="auto"/>
          <w:sz w:val="32"/>
          <w:szCs w:val="32"/>
          <w:highlight w:val="none"/>
          <w:lang w:val="en-US" w:eastAsia="zh-CN"/>
        </w:rPr>
        <w:t>642.2万元</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仿宋_GB2312" w:cs="Times New Roman"/>
          <w:b w:val="0"/>
          <w:bCs w:val="0"/>
          <w:color w:val="auto"/>
          <w:kern w:val="0"/>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zh-CN"/>
        </w:rPr>
        <w:t>三</w:t>
      </w:r>
      <w:r>
        <w:rPr>
          <w:rFonts w:hint="default" w:ascii="Times New Roman" w:hAnsi="Times New Roman" w:eastAsia="楷体_GB2312" w:cs="Times New Roman"/>
          <w:b/>
          <w:bCs/>
          <w:color w:val="auto"/>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auto"/>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市妇联</w:t>
      </w:r>
      <w:r>
        <w:rPr>
          <w:rFonts w:hint="eastAsia"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lang w:val="en-US" w:eastAsia="zh-CN"/>
        </w:rPr>
        <w:t>年决算报表</w:t>
      </w:r>
      <w:r>
        <w:rPr>
          <w:rFonts w:hint="eastAsia" w:eastAsia="仿宋_GB2312" w:cs="Times New Roman"/>
          <w:color w:val="auto"/>
          <w:sz w:val="32"/>
          <w:szCs w:val="32"/>
          <w:highlight w:val="none"/>
          <w:lang w:val="en-US" w:eastAsia="zh-CN"/>
        </w:rPr>
        <w:t>无</w:t>
      </w:r>
      <w:r>
        <w:rPr>
          <w:rFonts w:hint="default" w:ascii="Times New Roman" w:hAnsi="Times New Roman" w:eastAsia="仿宋_GB2312" w:cs="Times New Roman"/>
          <w:color w:val="auto"/>
          <w:sz w:val="32"/>
          <w:szCs w:val="32"/>
          <w:highlight w:val="none"/>
          <w:lang w:val="en-US" w:eastAsia="zh-CN"/>
        </w:rPr>
        <w:t>结转结余。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eastAsia="zh-CN"/>
        </w:rPr>
      </w:pPr>
      <w:r>
        <w:rPr>
          <w:rFonts w:hint="default" w:ascii="Times New Roman" w:hAnsi="Times New Roman" w:eastAsia="黑体" w:cs="Times New Roman"/>
          <w:color w:val="auto"/>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auto"/>
          <w:kern w:val="0"/>
          <w:sz w:val="32"/>
          <w:szCs w:val="32"/>
          <w:highlight w:val="none"/>
          <w:shd w:val="clear" w:color="auto" w:fill="FFFFFF"/>
          <w:lang w:val="zh-CN"/>
        </w:rPr>
        <w:t>（一）</w:t>
      </w:r>
      <w:r>
        <w:rPr>
          <w:rFonts w:hint="eastAsia" w:ascii="Times New Roman" w:hAnsi="Times New Roman" w:eastAsia="楷体_GB2312" w:cs="Times New Roman"/>
          <w:b/>
          <w:bCs/>
          <w:color w:val="auto"/>
          <w:kern w:val="0"/>
          <w:sz w:val="32"/>
          <w:szCs w:val="32"/>
          <w:highlight w:val="none"/>
          <w:shd w:val="clear" w:color="auto" w:fill="FFFFFF"/>
          <w:lang w:val="zh-CN"/>
        </w:rPr>
        <w:t>部门预算</w:t>
      </w:r>
      <w:r>
        <w:rPr>
          <w:rFonts w:hint="default" w:ascii="Times New Roman" w:hAnsi="Times New Roman" w:eastAsia="楷体_GB2312" w:cs="Times New Roman"/>
          <w:b/>
          <w:bCs/>
          <w:color w:val="auto"/>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仿宋_GB2312" w:cs="Times New Roman"/>
          <w:color w:val="auto"/>
          <w:sz w:val="32"/>
          <w:szCs w:val="32"/>
          <w:highlight w:val="none"/>
          <w:lang w:val="en-US" w:eastAsia="zh-CN"/>
        </w:rPr>
      </w:pPr>
      <w:r>
        <w:rPr>
          <w:rFonts w:hint="eastAsia" w:eastAsia="仿宋_GB2312"/>
          <w:bCs w:val="0"/>
          <w:color w:val="auto"/>
          <w:sz w:val="32"/>
          <w:szCs w:val="32"/>
          <w:highlight w:val="none"/>
          <w:lang w:val="en-US" w:eastAsia="zh-CN"/>
        </w:rPr>
        <w:t>1.</w:t>
      </w:r>
      <w:r>
        <w:rPr>
          <w:rFonts w:hint="eastAsia" w:eastAsia="仿宋_GB2312"/>
          <w:bCs w:val="0"/>
          <w:color w:val="auto"/>
          <w:sz w:val="32"/>
          <w:szCs w:val="32"/>
          <w:highlight w:val="none"/>
          <w:lang w:val="zh-CN" w:eastAsia="zh-CN"/>
        </w:rPr>
        <w:t>履职效能。</w:t>
      </w:r>
      <w:r>
        <w:rPr>
          <w:rFonts w:hint="default" w:ascii="Times New Roman" w:hAnsi="Times New Roman" w:eastAsia="仿宋_GB2312" w:cs="Times New Roman"/>
          <w:color w:val="auto"/>
          <w:sz w:val="32"/>
          <w:szCs w:val="32"/>
          <w:highlight w:val="none"/>
          <w:lang w:val="zh-CN" w:eastAsia="zh-CN"/>
        </w:rPr>
        <w:t>2025年，市妇联围绕“砥砺四十载 奋进两千亿”目标，深入开展“效率革命行动”，向上争取项目资金361万元，同比增长114%，创历史新高；推动1个省级妇女居家灵活就业基地项目落户遂宁，1个巾帼志愿服务项目入选省级品牌扶持计划，2个女性社会组织项目获全国妇联“培育类项目”，琪英菌业巾帼创新创业示范车间获央视关注报道，品牌影响力显著提升；“三新”领域妇联组织建设工作案例入选全国妇联优秀案例，《网聚法治光 传递正能量》案例入选四川省第四届“十大争做巾帼好网民优秀案例”，“这里漫生活馆”获四川省“天府美丽庭院”随手拍视频征集活动一等奖，多项工作持续保持全省第一方阵，市妇联连续三年获评全市目标绩效考核一等次。一是强化思想引领，凝聚巾帼共识。举办遂宁市巾帼宣讲员大赛，打造“遂州巾帼红”宣讲品牌、“遂宁她时代”传播品牌、“巾帼耀遂州”志愿品牌，分层分类分受众开展巾帼大学习、大宣讲等群众性活动400余场次，覆盖群众20余万人；培育全国三八红旗手1名，全国巾帼文明岗1个，推荐《网聚法治光 传递正能量》案例获评四川省“十大争做巾帼好网民优秀案例”，组建“遂便赢”女篮队斩获四川省女子三人篮球联谊赛亚军，遂宁市纪念“三八”国际妇女节115周年主题活动被四川新闻联播宣传报道。二是服务中心大局，引领巾帼建功。组织巾帼返乡下乡创业联盟开展盟员代表企业走访活动，召开遂潼女性人才助力现代农业高质量发展座谈会，举办遂潼绣娘交流活动，举行女性专场招聘会6场次，为万余名女性提供创业就业服务；联动商务等部门，推动国有企业在家政服务领域推行员工制管理，加强“遂心阿姨”“洪城阿姨”家政品牌建设，举办技能培训12期，试点布局社区服务网点3个，推动巾帼家政服务进社区，努力实现“就业一个人、幸福两个家”。开展美丽庭院建设活动，发布“遂心游.她地图”，选聘巾帼文旅宣荐官9名，举办“巾帼好品”展示活动，“这里漫生活馆”获四川省“天府美丽庭院”随手拍视频征集活动一等奖，妇女赋能“引客入遂”课题调研获市委领导肯定性批示。三是做实维权关爱，传递巾帼温暖。召开全球妇女峰会信访安全保障工作会议，强化走访排查、发现报告、舆情监测等基础工作，牢牢守住了三个不发生的底线，市妇联在全省妇联系统舆情引导实战演练中获一等奖；推动县级妇女儿童维权中心全面入驻各级综治中心，制作“妇女维权周三播报”专栏节目50余期，组织“巾帼普法乡村行”活动150余场次，法治宣传教育覆盖群众5万余人；救助265名低收入“两癌”患病妇女，为5.5万余名低收入妇女购买“两癌”保险，招募爱心妈妈12513名，结对困境儿童12571名，招募爱心妈妈10902名，结对关爱困境儿童11657名，走访慰问困境妇女儿童500余人；打造4条家风家教研学线路，组织家庭教育讲座、亲子户外研学等活动60余场次，开展家风家教巡讲巡展暨新型婚育文化进高校活动9场次，举办交友联谊活动6场次，实施暖“新”惠“新”行动，“三新”领域妇联组织“两个覆盖”工作经验在全省妇联系统交流。</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eastAsia="zh-CN"/>
        </w:rPr>
        <w:t>预算管理</w:t>
      </w:r>
      <w:r>
        <w:rPr>
          <w:rFonts w:hint="eastAsia" w:ascii="Times New Roman" w:hAnsi="Times New Roman" w:eastAsia="仿宋_GB2312" w:cs="Times New Roman"/>
          <w:color w:val="auto"/>
          <w:sz w:val="32"/>
          <w:szCs w:val="32"/>
          <w:highlight w:val="none"/>
          <w:lang w:val="zh-CN" w:eastAsia="zh-CN"/>
        </w:rPr>
        <w:t>。</w:t>
      </w:r>
      <w:r>
        <w:rPr>
          <w:rFonts w:hint="default" w:ascii="Times New Roman" w:hAnsi="Times New Roman" w:eastAsia="仿宋_GB2312" w:cs="Times New Roman"/>
          <w:color w:val="auto"/>
          <w:sz w:val="32"/>
          <w:szCs w:val="32"/>
          <w:highlight w:val="none"/>
          <w:lang w:val="zh-CN" w:eastAsia="zh-CN"/>
        </w:rPr>
        <w:t>一是预算编制质量。严格按要求编制年初部门预算，切实提高预算编制的科学性和准确性，全年未调整预算数。二是支出执行进度。</w:t>
      </w:r>
      <w:r>
        <w:rPr>
          <w:rFonts w:hint="default" w:ascii="Times New Roman" w:hAnsi="Times New Roman" w:eastAsia="仿宋_GB2312" w:cs="Times New Roman"/>
          <w:color w:val="auto"/>
          <w:sz w:val="32"/>
          <w:szCs w:val="32"/>
          <w:highlight w:val="none"/>
          <w:lang w:val="en-US" w:eastAsia="zh-CN"/>
        </w:rPr>
        <w:t>2025年预算项目预算数为329.24万元，实际支出数为329.22万元，执行率达99.99%。三是预算年终结余。2025年部门整体年终预算结余率为1.23%。四是严控一般性支出。2025年市妇联差旅费预算执行较上年压减3万元；会议费预算执行较上年压减1万元。</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color w:val="auto"/>
          <w:sz w:val="32"/>
          <w:szCs w:val="32"/>
          <w:highlight w:val="none"/>
          <w:lang w:val="zh-CN"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eastAsia="zh-CN"/>
        </w:rPr>
        <w:t>财务管理</w:t>
      </w:r>
      <w:r>
        <w:rPr>
          <w:rFonts w:hint="eastAsia" w:ascii="Times New Roman" w:hAnsi="Times New Roman" w:eastAsia="仿宋_GB2312" w:cs="Times New Roman"/>
          <w:color w:val="auto"/>
          <w:sz w:val="32"/>
          <w:szCs w:val="32"/>
          <w:highlight w:val="none"/>
          <w:lang w:val="zh-CN" w:eastAsia="zh-CN"/>
        </w:rPr>
        <w:t>。</w:t>
      </w:r>
      <w:r>
        <w:rPr>
          <w:rFonts w:hint="default" w:ascii="Times New Roman" w:hAnsi="Times New Roman" w:eastAsia="仿宋_GB2312" w:cs="Times New Roman"/>
          <w:color w:val="auto"/>
          <w:sz w:val="32"/>
          <w:szCs w:val="32"/>
          <w:highlight w:val="none"/>
          <w:lang w:val="zh-CN" w:eastAsia="zh-CN"/>
        </w:rPr>
        <w:t>一是财务管理制度。建立《机关财务管理制度》《采购管理暂行办法》《机关固定资产管理暂行办法》等内控制度。二是财务岗位设置。明确由专人落实财务岗位职责，责任部室为市妇联办公室。三是资金使用规范。</w:t>
      </w:r>
      <w:r>
        <w:rPr>
          <w:rFonts w:hint="default" w:ascii="Times New Roman" w:hAnsi="Times New Roman" w:eastAsia="仿宋_GB2312" w:cs="Times New Roman"/>
          <w:color w:val="auto"/>
          <w:sz w:val="32"/>
          <w:szCs w:val="32"/>
          <w:highlight w:val="none"/>
          <w:lang w:val="en-US" w:eastAsia="zh-CN"/>
        </w:rPr>
        <w:t>2025年市妇联部门预算资金使用</w:t>
      </w:r>
      <w:r>
        <w:rPr>
          <w:rFonts w:hint="default" w:ascii="Times New Roman" w:hAnsi="Times New Roman" w:eastAsia="仿宋_GB2312" w:cs="Times New Roman"/>
          <w:color w:val="auto"/>
          <w:sz w:val="32"/>
          <w:szCs w:val="32"/>
          <w:highlight w:val="none"/>
          <w:lang w:val="zh-CN" w:eastAsia="zh-CN"/>
        </w:rPr>
        <w:t>符合相关财务管理制度规定。</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zh-CN" w:eastAsia="zh-CN"/>
        </w:rPr>
        <w:t>资产管理</w:t>
      </w:r>
      <w:r>
        <w:rPr>
          <w:rFonts w:hint="eastAsia" w:ascii="Times New Roman" w:hAnsi="Times New Roman" w:eastAsia="仿宋_GB2312" w:cs="Times New Roman"/>
          <w:color w:val="auto"/>
          <w:sz w:val="32"/>
          <w:szCs w:val="32"/>
          <w:highlight w:val="none"/>
          <w:lang w:val="zh-CN" w:eastAsia="zh-CN"/>
        </w:rPr>
        <w:t>。</w:t>
      </w:r>
      <w:r>
        <w:rPr>
          <w:rFonts w:hint="default" w:ascii="Times New Roman" w:hAnsi="Times New Roman" w:eastAsia="仿宋_GB2312" w:cs="Times New Roman"/>
          <w:color w:val="auto"/>
          <w:sz w:val="32"/>
          <w:szCs w:val="32"/>
          <w:highlight w:val="none"/>
          <w:lang w:val="zh-CN" w:eastAsia="zh-CN"/>
        </w:rPr>
        <w:t>一是人均资产变化率。</w:t>
      </w:r>
      <w:r>
        <w:rPr>
          <w:rFonts w:hint="default" w:ascii="Times New Roman" w:hAnsi="Times New Roman" w:eastAsia="仿宋_GB2312" w:cs="Times New Roman"/>
          <w:color w:val="auto"/>
          <w:sz w:val="32"/>
          <w:szCs w:val="32"/>
          <w:highlight w:val="none"/>
          <w:lang w:val="en-US" w:eastAsia="zh-CN"/>
        </w:rPr>
        <w:t>2025年，市妇联人均资产基本无变化。二是资产利用率。2025年，市妇联超最低使用年限的办公家具账面原值占办公家具账面原值的10.91%，超最低使用年限的办公设备账面原值占办公设备账面原值的6.9%。三是资产盘活率。市妇联2024—2025年两年均无闲置资产。</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color w:val="auto"/>
          <w:sz w:val="32"/>
          <w:szCs w:val="32"/>
          <w:highlight w:val="none"/>
          <w:lang w:val="zh-CN" w:eastAsia="zh-CN"/>
        </w:rPr>
      </w:pP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zh-CN" w:eastAsia="zh-CN"/>
        </w:rPr>
        <w:t>采购管理</w:t>
      </w:r>
      <w:r>
        <w:rPr>
          <w:rFonts w:hint="eastAsia" w:ascii="Times New Roman" w:hAnsi="Times New Roman" w:eastAsia="仿宋_GB2312" w:cs="Times New Roman"/>
          <w:color w:val="auto"/>
          <w:sz w:val="32"/>
          <w:szCs w:val="32"/>
          <w:highlight w:val="none"/>
          <w:lang w:val="zh-CN" w:eastAsia="zh-CN"/>
        </w:rPr>
        <w:t>。</w:t>
      </w:r>
      <w:r>
        <w:rPr>
          <w:rFonts w:hint="default" w:ascii="Times New Roman" w:hAnsi="Times New Roman" w:eastAsia="仿宋_GB2312" w:cs="Times New Roman"/>
          <w:color w:val="auto"/>
          <w:sz w:val="32"/>
          <w:szCs w:val="32"/>
          <w:highlight w:val="none"/>
          <w:lang w:val="zh-CN" w:eastAsia="zh-CN"/>
        </w:rPr>
        <w:t>一是支持中小企业发展。严格执行《政府采购促进中小企业发展相关管理办法》，</w:t>
      </w:r>
      <w:r>
        <w:rPr>
          <w:rFonts w:hint="default" w:ascii="Times New Roman" w:hAnsi="Times New Roman" w:eastAsia="仿宋_GB2312" w:cs="Times New Roman"/>
          <w:color w:val="auto"/>
          <w:sz w:val="32"/>
          <w:szCs w:val="32"/>
          <w:highlight w:val="none"/>
          <w:lang w:val="en-US" w:eastAsia="zh-CN"/>
        </w:rPr>
        <w:t>2025年政府采购家庭教育服务项目</w:t>
      </w:r>
      <w:r>
        <w:rPr>
          <w:rFonts w:hint="default" w:ascii="Times New Roman" w:hAnsi="Times New Roman" w:eastAsia="仿宋_GB2312" w:cs="Times New Roman"/>
          <w:color w:val="auto"/>
          <w:sz w:val="32"/>
          <w:szCs w:val="32"/>
          <w:highlight w:val="none"/>
          <w:lang w:val="zh-CN" w:eastAsia="zh-CN"/>
        </w:rPr>
        <w:t>面向中小企业采购。二是采购执行率。</w:t>
      </w:r>
      <w:r>
        <w:rPr>
          <w:rFonts w:hint="default" w:ascii="Times New Roman" w:hAnsi="Times New Roman" w:eastAsia="仿宋_GB2312" w:cs="Times New Roman"/>
          <w:color w:val="auto"/>
          <w:sz w:val="32"/>
          <w:szCs w:val="32"/>
          <w:highlight w:val="none"/>
          <w:lang w:val="en-US" w:eastAsia="zh-CN"/>
        </w:rPr>
        <w:t>2025年政府采购家庭教育服务项目支付比例为100%。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auto"/>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常年项目绩效分析。该类项目总数6个，涉及预算总金额226.19万元，1—12月预算执行总体进度为100%，其中：预算结余率大于10%的项目共计0个。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阶段（一次性）项目绩效分析。该类项目总数3个，涉及预算总金额30.05万元，1—12月预算执行总体进度为100%，其中：预算结余率大于10%的项目共计0个。</w:t>
      </w:r>
    </w:p>
    <w:p>
      <w:pPr>
        <w:keepNext w:val="0"/>
        <w:keepLines w:val="0"/>
        <w:pageBreakBefore w:val="0"/>
        <w:widowControl w:val="0"/>
        <w:shd w:val="clear"/>
        <w:kinsoku/>
        <w:wordWrap/>
        <w:overflowPunct/>
        <w:topLinePunct w:val="0"/>
        <w:autoSpaceDE/>
        <w:autoSpaceDN/>
        <w:bidi w:val="0"/>
        <w:adjustRightInd w:val="0"/>
        <w:snapToGrid w:val="0"/>
        <w:spacing w:beforeAutospacing="0" w:afterAutospacing="0" w:line="620" w:lineRule="exact"/>
        <w:ind w:left="0" w:leftChars="0" w:right="0" w:rightChars="0" w:firstLine="640" w:firstLineChars="200"/>
        <w:jc w:val="both"/>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default" w:ascii="Times New Roman" w:hAnsi="Times New Roman" w:eastAsia="仿宋_GB2312" w:cs="仿宋_GB2312"/>
          <w:color w:val="auto"/>
          <w:kern w:val="2"/>
          <w:sz w:val="32"/>
          <w:szCs w:val="32"/>
          <w:highlight w:val="none"/>
          <w:lang w:val="zh-CN" w:eastAsia="zh-CN" w:bidi="ar-SA"/>
        </w:rPr>
        <w:t>一是市妇联预算项目设立均按“三定”规定履行，由各部（室）提出预算草案，经党组会审议通过后呈报。二是</w:t>
      </w:r>
      <w:r>
        <w:rPr>
          <w:rFonts w:hint="default" w:ascii="Times New Roman" w:hAnsi="Times New Roman" w:eastAsia="仿宋_GB2312" w:cs="仿宋_GB2312"/>
          <w:color w:val="auto"/>
          <w:kern w:val="2"/>
          <w:sz w:val="32"/>
          <w:szCs w:val="32"/>
          <w:highlight w:val="none"/>
          <w:lang w:val="en-US" w:eastAsia="zh-CN" w:bidi="ar-SA"/>
        </w:rPr>
        <w:t>2025年，无</w:t>
      </w:r>
      <w:r>
        <w:rPr>
          <w:rFonts w:hint="default" w:ascii="Times New Roman" w:hAnsi="Times New Roman" w:eastAsia="仿宋_GB2312" w:cs="仿宋_GB2312"/>
          <w:color w:val="auto"/>
          <w:kern w:val="2"/>
          <w:sz w:val="32"/>
          <w:szCs w:val="32"/>
          <w:highlight w:val="none"/>
          <w:lang w:val="zh-CN" w:eastAsia="zh-CN" w:bidi="ar-SA"/>
        </w:rPr>
        <w:t>绩效目标与计划期内的任务量、预算安排不相匹配的预算项目。三是部门预算项目均在规定时间完成项目入库。</w:t>
      </w:r>
    </w:p>
    <w:p>
      <w:pPr>
        <w:keepNext w:val="0"/>
        <w:keepLines w:val="0"/>
        <w:pageBreakBefore w:val="0"/>
        <w:widowControl w:val="0"/>
        <w:shd w:val="clear"/>
        <w:kinsoku/>
        <w:wordWrap/>
        <w:overflowPunct/>
        <w:topLinePunct w:val="0"/>
        <w:autoSpaceDE/>
        <w:autoSpaceDN/>
        <w:bidi w:val="0"/>
        <w:adjustRightInd w:val="0"/>
        <w:snapToGrid w:val="0"/>
        <w:spacing w:beforeAutospacing="0" w:afterAutospacing="0" w:line="620" w:lineRule="exact"/>
        <w:ind w:left="0" w:leftChars="0" w:right="0" w:rightChars="0" w:firstLine="640" w:firstLineChars="200"/>
        <w:jc w:val="both"/>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一是</w:t>
      </w:r>
      <w:r>
        <w:rPr>
          <w:rFonts w:hint="default" w:ascii="Times New Roman" w:hAnsi="Times New Roman" w:eastAsia="仿宋_GB2312" w:cs="仿宋_GB2312"/>
          <w:color w:val="auto"/>
          <w:kern w:val="2"/>
          <w:sz w:val="32"/>
          <w:szCs w:val="32"/>
          <w:highlight w:val="none"/>
          <w:lang w:val="en-US" w:eastAsia="zh-CN" w:bidi="ar-SA"/>
        </w:rPr>
        <w:t>2025年市妇联</w:t>
      </w:r>
      <w:r>
        <w:rPr>
          <w:rFonts w:hint="default" w:ascii="Times New Roman" w:hAnsi="Times New Roman" w:eastAsia="仿宋_GB2312" w:cs="仿宋_GB2312"/>
          <w:color w:val="auto"/>
          <w:kern w:val="2"/>
          <w:sz w:val="32"/>
          <w:szCs w:val="32"/>
          <w:highlight w:val="none"/>
          <w:lang w:val="zh-CN" w:eastAsia="zh-CN" w:bidi="ar-SA"/>
        </w:rPr>
        <w:t>预算项目实际列支内容与绩效目标设置方向相符。二是</w:t>
      </w:r>
      <w:r>
        <w:rPr>
          <w:rFonts w:hint="default" w:ascii="Times New Roman" w:hAnsi="Times New Roman" w:eastAsia="仿宋_GB2312" w:cs="仿宋_GB2312"/>
          <w:color w:val="auto"/>
          <w:kern w:val="2"/>
          <w:sz w:val="32"/>
          <w:szCs w:val="32"/>
          <w:highlight w:val="none"/>
          <w:lang w:val="en-US" w:eastAsia="zh-CN" w:bidi="ar-SA"/>
        </w:rPr>
        <w:t>2025年市妇联无</w:t>
      </w:r>
      <w:r>
        <w:rPr>
          <w:rFonts w:hint="default" w:ascii="Times New Roman" w:hAnsi="Times New Roman" w:eastAsia="仿宋_GB2312" w:cs="仿宋_GB2312"/>
          <w:color w:val="auto"/>
          <w:kern w:val="2"/>
          <w:sz w:val="32"/>
          <w:szCs w:val="32"/>
          <w:highlight w:val="none"/>
          <w:lang w:val="zh-CN" w:eastAsia="zh-CN" w:bidi="ar-SA"/>
        </w:rPr>
        <w:t>应采取收回预算、调整目标等处置措施的预算项目。三是</w:t>
      </w:r>
      <w:r>
        <w:rPr>
          <w:rFonts w:hint="default" w:ascii="Times New Roman" w:hAnsi="Times New Roman" w:eastAsia="仿宋_GB2312" w:cs="仿宋_GB2312"/>
          <w:color w:val="auto"/>
          <w:kern w:val="2"/>
          <w:sz w:val="32"/>
          <w:szCs w:val="32"/>
          <w:highlight w:val="none"/>
          <w:lang w:val="en-US" w:eastAsia="zh-CN" w:bidi="ar-SA"/>
        </w:rPr>
        <w:t>2025年市妇联预算</w:t>
      </w:r>
      <w:r>
        <w:rPr>
          <w:rFonts w:hint="default" w:ascii="Times New Roman" w:hAnsi="Times New Roman" w:eastAsia="仿宋_GB2312" w:cs="仿宋_GB2312"/>
          <w:color w:val="auto"/>
          <w:kern w:val="2"/>
          <w:sz w:val="32"/>
          <w:szCs w:val="32"/>
          <w:highlight w:val="none"/>
          <w:lang w:val="zh-CN" w:eastAsia="zh-CN" w:bidi="ar-SA"/>
        </w:rPr>
        <w:t>项目预算结余率均小于10%。</w:t>
      </w:r>
    </w:p>
    <w:p>
      <w:pPr>
        <w:keepNext w:val="0"/>
        <w:keepLines w:val="0"/>
        <w:pageBreakBefore w:val="0"/>
        <w:widowControl w:val="0"/>
        <w:shd w:val="clear"/>
        <w:kinsoku/>
        <w:wordWrap/>
        <w:overflowPunct/>
        <w:topLinePunct w:val="0"/>
        <w:autoSpaceDE/>
        <w:autoSpaceDN/>
        <w:bidi w:val="0"/>
        <w:adjustRightInd w:val="0"/>
        <w:snapToGrid w:val="0"/>
        <w:spacing w:beforeAutospacing="0" w:afterAutospacing="0" w:line="576" w:lineRule="exact"/>
        <w:ind w:left="0" w:leftChars="0" w:right="0" w:rightChars="0" w:firstLine="640" w:firstLineChars="200"/>
        <w:jc w:val="both"/>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default" w:ascii="Times New Roman" w:hAnsi="Times New Roman" w:eastAsia="仿宋_GB2312" w:cs="仿宋_GB2312"/>
          <w:color w:val="auto"/>
          <w:kern w:val="2"/>
          <w:sz w:val="32"/>
          <w:szCs w:val="32"/>
          <w:highlight w:val="none"/>
          <w:lang w:val="en-US" w:eastAsia="zh-CN" w:bidi="ar-SA"/>
        </w:rPr>
        <w:t>2025年市妇联</w:t>
      </w:r>
      <w:r>
        <w:rPr>
          <w:rFonts w:hint="default" w:ascii="Times New Roman" w:hAnsi="Times New Roman" w:eastAsia="仿宋_GB2312" w:cs="仿宋_GB2312"/>
          <w:color w:val="auto"/>
          <w:kern w:val="2"/>
          <w:sz w:val="32"/>
          <w:szCs w:val="32"/>
          <w:highlight w:val="none"/>
          <w:lang w:val="zh-CN" w:eastAsia="zh-CN" w:bidi="ar-SA"/>
        </w:rPr>
        <w:t>预算项目绩效目标数量指标全部完成，无预期目标的偏离情况，完成了项目绩效目标各类效益指标。</w:t>
      </w:r>
    </w:p>
    <w:p>
      <w:pPr>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firstLine="643" w:firstLineChars="200"/>
        <w:jc w:val="both"/>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三</w:t>
      </w:r>
      <w:r>
        <w:rPr>
          <w:rFonts w:hint="default" w:ascii="Times New Roman" w:hAnsi="Times New Roman" w:eastAsia="楷体_GB2312" w:cs="Times New Roman"/>
          <w:b/>
          <w:bCs/>
          <w:color w:val="auto"/>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auto"/>
          <w:kern w:val="0"/>
          <w:sz w:val="32"/>
          <w:szCs w:val="32"/>
          <w:highlight w:val="none"/>
          <w:shd w:val="clear" w:color="auto" w:fill="FFFFFF"/>
          <w:lang w:val="zh-CN" w:eastAsia="zh-CN"/>
        </w:rPr>
        <w:t>。</w:t>
      </w:r>
      <w:r>
        <w:rPr>
          <w:rFonts w:hint="default" w:ascii="Times New Roman" w:hAnsi="Times New Roman" w:eastAsia="仿宋_GB2312" w:cs="仿宋_GB2312"/>
          <w:color w:val="auto"/>
          <w:kern w:val="2"/>
          <w:sz w:val="32"/>
          <w:szCs w:val="32"/>
          <w:highlight w:val="none"/>
          <w:lang w:val="zh-CN" w:eastAsia="zh-CN" w:bidi="ar-SA"/>
        </w:rPr>
        <w:t>一是市妇联定期组织各部（室）开展绩效分析，通过绩效数据挖掘工作中的薄弱环节，优化业务流程，推动整体工作提质增效。二是通过遂宁市政务公开网站、市妇联官方网站等平台，及时、准确地向社会公开年度绩效目标、指标完成情况及绩效评价结果，确保信息公开的透明度与时效性。三是针对202</w:t>
      </w:r>
      <w:r>
        <w:rPr>
          <w:rFonts w:hint="default"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年市级财政重点绩效评价发现问题，市妇联高度重视，立行立改，</w:t>
      </w:r>
      <w:r>
        <w:rPr>
          <w:rFonts w:hint="default"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个问题已全面完成整改并长期坚持。</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eastAsia="zh-CN"/>
        </w:rPr>
        <w:t>四、</w:t>
      </w:r>
      <w:r>
        <w:rPr>
          <w:rFonts w:hint="default" w:ascii="Times New Roman" w:hAnsi="Times New Roman" w:eastAsia="黑体" w:cs="Times New Roman"/>
          <w:color w:val="auto"/>
          <w:kern w:val="0"/>
          <w:sz w:val="32"/>
          <w:szCs w:val="32"/>
          <w:highlight w:val="none"/>
          <w:shd w:val="clear" w:color="auto" w:fill="FFFFFF"/>
          <w:lang w:val="zh-CN"/>
        </w:rPr>
        <w:t>评价结论及建议</w:t>
      </w:r>
    </w:p>
    <w:p>
      <w:pPr>
        <w:keepNext w:val="0"/>
        <w:keepLines w:val="0"/>
        <w:pageBreakBefore w:val="0"/>
        <w:widowControl w:val="0"/>
        <w:numPr>
          <w:ilvl w:val="0"/>
          <w:numId w:val="0"/>
        </w:numPr>
        <w:shd w:val="clear"/>
        <w:kinsoku/>
        <w:wordWrap/>
        <w:overflowPunct/>
        <w:topLinePunct w:val="0"/>
        <w:autoSpaceDE/>
        <w:autoSpaceDN/>
        <w:bidi w:val="0"/>
        <w:adjustRightInd w:val="0"/>
        <w:snapToGrid w:val="0"/>
        <w:spacing w:beforeAutospacing="0" w:afterAutospacing="0" w:line="620" w:lineRule="exact"/>
        <w:ind w:left="0" w:leftChars="0" w:right="0" w:rightChars="0" w:firstLine="643" w:firstLineChars="200"/>
        <w:jc w:val="both"/>
        <w:textAlignment w:val="auto"/>
        <w:rPr>
          <w:rFonts w:hint="default" w:ascii="Times New Roman" w:hAnsi="Times New Roman" w:eastAsia="仿宋_GB2312" w:cs="Times New Roman"/>
          <w:b w:val="0"/>
          <w:bCs w:val="0"/>
          <w:color w:val="auto"/>
          <w:kern w:val="0"/>
          <w:position w:val="0"/>
          <w:sz w:val="32"/>
          <w:szCs w:val="32"/>
          <w:highlight w:val="none"/>
          <w:lang w:val="en-US" w:eastAsia="zh-CN" w:bidi="ar-SA"/>
        </w:rPr>
      </w:pPr>
      <w:r>
        <w:rPr>
          <w:rFonts w:hint="default" w:ascii="Times New Roman" w:hAnsi="Times New Roman" w:eastAsia="楷体_GB2312" w:cs="Times New Roman"/>
          <w:b/>
          <w:bCs/>
          <w:color w:val="auto"/>
          <w:kern w:val="0"/>
          <w:sz w:val="32"/>
          <w:szCs w:val="32"/>
          <w:highlight w:val="none"/>
          <w:shd w:val="clear" w:color="auto" w:fill="FFFFFF"/>
          <w:lang w:val="zh-CN"/>
        </w:rPr>
        <w:t>（一）评价结论。</w:t>
      </w:r>
      <w:r>
        <w:rPr>
          <w:rFonts w:hint="default" w:ascii="Times New Roman" w:hAnsi="Times New Roman" w:eastAsia="仿宋_GB2312" w:cs="Times New Roman"/>
          <w:b w:val="0"/>
          <w:bCs w:val="0"/>
          <w:color w:val="auto"/>
          <w:kern w:val="0"/>
          <w:position w:val="0"/>
          <w:sz w:val="32"/>
          <w:szCs w:val="32"/>
          <w:highlight w:val="none"/>
          <w:lang w:val="en-US" w:eastAsia="zh-CN" w:bidi="ar-SA"/>
        </w:rPr>
        <w:t>经全面自评，</w:t>
      </w:r>
      <w:r>
        <w:rPr>
          <w:rFonts w:hint="default" w:ascii="Times New Roman" w:hAnsi="Times New Roman" w:cs="Times New Roman"/>
          <w:b w:val="0"/>
          <w:bCs w:val="0"/>
          <w:color w:val="auto"/>
          <w:kern w:val="0"/>
          <w:position w:val="0"/>
          <w:sz w:val="32"/>
          <w:szCs w:val="32"/>
          <w:highlight w:val="none"/>
          <w:lang w:val="en-US" w:eastAsia="zh-CN" w:bidi="ar-SA"/>
        </w:rPr>
        <w:t>市妇联</w:t>
      </w:r>
      <w:r>
        <w:rPr>
          <w:rFonts w:hint="default" w:ascii="Times New Roman" w:hAnsi="Times New Roman" w:eastAsia="仿宋_GB2312" w:cs="Times New Roman"/>
          <w:b w:val="0"/>
          <w:bCs w:val="0"/>
          <w:color w:val="auto"/>
          <w:kern w:val="0"/>
          <w:position w:val="0"/>
          <w:sz w:val="32"/>
          <w:szCs w:val="32"/>
          <w:highlight w:val="none"/>
          <w:lang w:val="en-US" w:eastAsia="zh-CN" w:bidi="ar-SA"/>
        </w:rPr>
        <w:t>在预算绩效管理工作中，通过构建完善的绩效结果应用体系，有效提升了资源使用效率与工作成效，部门预算绩效目标基本达成，绩效管理工作成效显著，整体自评得分为</w:t>
      </w:r>
      <w:r>
        <w:rPr>
          <w:rFonts w:hint="default" w:cs="Times New Roman"/>
          <w:b w:val="0"/>
          <w:bCs w:val="0"/>
          <w:color w:val="auto"/>
          <w:kern w:val="0"/>
          <w:position w:val="0"/>
          <w:sz w:val="32"/>
          <w:szCs w:val="32"/>
          <w:highlight w:val="none"/>
          <w:lang w:val="en-US" w:eastAsia="zh-CN" w:bidi="ar-SA"/>
        </w:rPr>
        <w:t>95.06</w:t>
      </w:r>
      <w:r>
        <w:rPr>
          <w:rFonts w:hint="default" w:ascii="Times New Roman" w:hAnsi="Times New Roman" w:eastAsia="仿宋_GB2312" w:cs="Times New Roman"/>
          <w:b w:val="0"/>
          <w:bCs w:val="0"/>
          <w:color w:val="auto"/>
          <w:kern w:val="0"/>
          <w:position w:val="0"/>
          <w:sz w:val="32"/>
          <w:szCs w:val="32"/>
          <w:highlight w:val="none"/>
          <w:lang w:val="en-US" w:eastAsia="zh-CN" w:bidi="ar-SA"/>
        </w:rPr>
        <w:t>分。</w:t>
      </w:r>
    </w:p>
    <w:p>
      <w:pPr>
        <w:keepNext w:val="0"/>
        <w:keepLines w:val="0"/>
        <w:pageBreakBefore w:val="0"/>
        <w:widowControl w:val="0"/>
        <w:numPr>
          <w:ilvl w:val="0"/>
          <w:numId w:val="0"/>
        </w:numPr>
        <w:shd w:val="clear"/>
        <w:kinsoku/>
        <w:wordWrap/>
        <w:overflowPunct/>
        <w:topLinePunct w:val="0"/>
        <w:autoSpaceDE/>
        <w:autoSpaceDN/>
        <w:bidi w:val="0"/>
        <w:adjustRightInd w:val="0"/>
        <w:snapToGrid w:val="0"/>
        <w:spacing w:beforeAutospacing="0" w:afterAutospacing="0" w:line="620" w:lineRule="exact"/>
        <w:ind w:left="0" w:leftChars="0" w:right="0" w:rightChars="0" w:firstLine="643" w:firstLineChars="200"/>
        <w:jc w:val="both"/>
        <w:textAlignment w:val="auto"/>
        <w:rPr>
          <w:rFonts w:hint="eastAsia" w:ascii="Times New Roman" w:hAnsi="Times New Roman" w:eastAsia="仿宋_GB2312" w:cs="Times New Roman"/>
          <w:color w:val="auto"/>
          <w:sz w:val="32"/>
          <w:szCs w:val="32"/>
          <w:highlight w:val="none"/>
          <w:u w:val="none"/>
          <w:lang w:val="en-US" w:eastAsia="zh-CN" w:bidi="ar"/>
        </w:rPr>
      </w:pPr>
      <w:r>
        <w:rPr>
          <w:rFonts w:hint="default" w:ascii="Times New Roman" w:hAnsi="Times New Roman" w:eastAsia="楷体_GB2312" w:cs="Times New Roman"/>
          <w:b/>
          <w:bCs/>
          <w:color w:val="auto"/>
          <w:kern w:val="0"/>
          <w:sz w:val="32"/>
          <w:szCs w:val="32"/>
          <w:highlight w:val="none"/>
          <w:shd w:val="clear" w:color="auto" w:fill="FFFFFF"/>
          <w:lang w:val="zh-CN"/>
        </w:rPr>
        <w:t>（二）存在问题。</w:t>
      </w:r>
      <w:r>
        <w:rPr>
          <w:rFonts w:hint="default" w:ascii="Times New Roman" w:hAnsi="Times New Roman" w:eastAsia="仿宋_GB2312" w:cs="Times New Roman"/>
          <w:b w:val="0"/>
          <w:bCs w:val="0"/>
          <w:color w:val="auto"/>
          <w:kern w:val="0"/>
          <w:position w:val="0"/>
          <w:sz w:val="32"/>
          <w:szCs w:val="32"/>
          <w:highlight w:val="none"/>
          <w:lang w:val="zh-CN" w:eastAsia="zh-CN" w:bidi="ar-SA"/>
        </w:rPr>
        <w:t>市妇联预算</w:t>
      </w:r>
      <w:r>
        <w:rPr>
          <w:rFonts w:hint="eastAsia" w:ascii="Times New Roman" w:hAnsi="Times New Roman" w:eastAsia="仿宋_GB2312" w:cs="Times New Roman"/>
          <w:b w:val="0"/>
          <w:bCs w:val="0"/>
          <w:color w:val="auto"/>
          <w:kern w:val="0"/>
          <w:position w:val="0"/>
          <w:sz w:val="32"/>
          <w:szCs w:val="32"/>
          <w:highlight w:val="none"/>
          <w:lang w:val="zh-CN" w:eastAsia="zh-CN" w:bidi="ar-SA"/>
        </w:rPr>
        <w:t>资金支付进度还需进一步增强</w:t>
      </w:r>
      <w:r>
        <w:rPr>
          <w:rFonts w:hint="default" w:ascii="Times New Roman" w:hAnsi="Times New Roman" w:eastAsia="仿宋_GB2312" w:cs="Times New Roman"/>
          <w:b w:val="0"/>
          <w:bCs w:val="0"/>
          <w:color w:val="auto"/>
          <w:kern w:val="0"/>
          <w:position w:val="0"/>
          <w:sz w:val="32"/>
          <w:szCs w:val="32"/>
          <w:highlight w:val="none"/>
          <w:lang w:val="zh-CN" w:eastAsia="zh-CN" w:bidi="ar-SA"/>
        </w:rPr>
        <w:t>。</w:t>
      </w:r>
    </w:p>
    <w:p>
      <w:pPr>
        <w:pStyle w:val="7"/>
        <w:pageBreakBefore w:val="0"/>
        <w:widowControl w:val="0"/>
        <w:numPr>
          <w:ilvl w:val="0"/>
          <w:numId w:val="0"/>
        </w:numPr>
        <w:kinsoku/>
        <w:wordWrap/>
        <w:topLinePunct w:val="0"/>
        <w:autoSpaceDE/>
        <w:autoSpaceDN/>
        <w:bidi w:val="0"/>
        <w:adjustRightInd w:val="0"/>
        <w:snapToGrid w:val="0"/>
        <w:spacing w:beforeLines="0" w:line="620" w:lineRule="exact"/>
        <w:ind w:left="0" w:leftChars="0" w:firstLine="643" w:firstLineChars="200"/>
        <w:rPr>
          <w:rFonts w:hint="default" w:ascii="Times New Roman" w:hAnsi="Times New Roman" w:eastAsia="仿宋_GB2312" w:cs="Times New Roman"/>
          <w:b w:val="0"/>
          <w:bCs w:val="0"/>
          <w:color w:val="auto"/>
          <w:kern w:val="0"/>
          <w:position w:val="0"/>
          <w:sz w:val="32"/>
          <w:szCs w:val="32"/>
          <w:highlight w:val="none"/>
          <w:lang w:val="zh-CN" w:eastAsia="zh-CN" w:bidi="ar-SA"/>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（三）改进建议。</w:t>
      </w:r>
      <w:bookmarkStart w:id="53" w:name="_Hlk110546638"/>
      <w:r>
        <w:rPr>
          <w:rFonts w:hint="default" w:ascii="Times New Roman" w:hAnsi="Times New Roman" w:eastAsia="仿宋_GB2312" w:cs="Times New Roman"/>
          <w:b w:val="0"/>
          <w:bCs w:val="0"/>
          <w:color w:val="auto"/>
          <w:kern w:val="0"/>
          <w:position w:val="0"/>
          <w:sz w:val="32"/>
          <w:szCs w:val="32"/>
          <w:highlight w:val="none"/>
          <w:lang w:val="zh-CN" w:eastAsia="zh-CN" w:bidi="ar-SA"/>
        </w:rPr>
        <w:t>建立预算执行动态监控机制，</w:t>
      </w:r>
      <w:r>
        <w:rPr>
          <w:rFonts w:hint="eastAsia" w:ascii="Times New Roman" w:hAnsi="Times New Roman" w:eastAsia="仿宋_GB2312" w:cs="Times New Roman"/>
          <w:b w:val="0"/>
          <w:bCs w:val="0"/>
          <w:color w:val="auto"/>
          <w:kern w:val="0"/>
          <w:position w:val="0"/>
          <w:sz w:val="32"/>
          <w:szCs w:val="32"/>
          <w:highlight w:val="none"/>
          <w:lang w:val="zh-CN" w:eastAsia="zh-CN" w:bidi="ar-SA"/>
        </w:rPr>
        <w:t>进一步增强预算资金支付进度</w:t>
      </w:r>
      <w:r>
        <w:rPr>
          <w:rFonts w:hint="default" w:ascii="Times New Roman" w:hAnsi="Times New Roman" w:eastAsia="仿宋_GB2312" w:cs="Times New Roman"/>
          <w:b w:val="0"/>
          <w:bCs w:val="0"/>
          <w:color w:val="auto"/>
          <w:kern w:val="0"/>
          <w:position w:val="0"/>
          <w:sz w:val="32"/>
          <w:szCs w:val="32"/>
          <w:highlight w:val="none"/>
          <w:lang w:val="zh-CN" w:eastAsia="zh-CN" w:bidi="ar-SA"/>
        </w:rPr>
        <w:t>。</w:t>
      </w:r>
    </w:p>
    <w:bookmarkEnd w:id="53"/>
    <w:p>
      <w:pPr>
        <w:pStyle w:val="9"/>
        <w:keepNext w:val="0"/>
        <w:keepLines w:val="0"/>
        <w:pageBreakBefore w:val="0"/>
        <w:widowControl w:val="0"/>
        <w:numPr>
          <w:ilvl w:val="0"/>
          <w:numId w:val="0"/>
        </w:numPr>
        <w:kinsoku/>
        <w:wordWrap/>
        <w:overflowPunct/>
        <w:topLinePunct w:val="0"/>
        <w:autoSpaceDE/>
        <w:autoSpaceDN/>
        <w:bidi w:val="0"/>
        <w:spacing w:after="0" w:line="560" w:lineRule="exact"/>
        <w:ind w:left="0" w:leftChars="0" w:firstLine="640" w:firstLineChars="200"/>
        <w:textAlignment w:val="auto"/>
        <w:rPr>
          <w:rFonts w:hint="eastAsia" w:ascii="Times New Roman" w:hAnsi="Times New Roman" w:eastAsia="仿宋_GB2312" w:cs="Times New Roman"/>
          <w:color w:val="auto"/>
          <w:kern w:val="2"/>
          <w:sz w:val="32"/>
          <w:szCs w:val="32"/>
          <w:highlight w:val="none"/>
          <w:u w:val="none"/>
          <w:lang w:val="en-US" w:eastAsia="zh-CN" w:bidi="ar"/>
        </w:rPr>
      </w:pPr>
      <w:r>
        <w:rPr>
          <w:rFonts w:hint="eastAsia" w:ascii="Times New Roman" w:hAnsi="Times New Roman" w:eastAsia="仿宋_GB2312" w:cs="Times New Roman"/>
          <w:color w:val="auto"/>
          <w:kern w:val="2"/>
          <w:sz w:val="32"/>
          <w:szCs w:val="32"/>
          <w:highlight w:val="none"/>
          <w:u w:val="none"/>
          <w:lang w:val="zh-CN" w:eastAsia="zh-CN" w:bidi="ar"/>
        </w:rPr>
        <w:t>附表：</w:t>
      </w:r>
      <w:r>
        <w:rPr>
          <w:rFonts w:hint="eastAsia" w:ascii="Times New Roman" w:hAnsi="Times New Roman" w:eastAsia="仿宋_GB2312" w:cs="Times New Roman"/>
          <w:color w:val="auto"/>
          <w:kern w:val="2"/>
          <w:sz w:val="32"/>
          <w:szCs w:val="32"/>
          <w:highlight w:val="none"/>
          <w:u w:val="none"/>
          <w:lang w:val="en-US" w:eastAsia="zh-CN" w:bidi="ar"/>
        </w:rPr>
        <w:t>部门预算项目支出绩效自评表（</w:t>
      </w:r>
      <w:r>
        <w:rPr>
          <w:rFonts w:hint="eastAsia" w:ascii="Times New Roman" w:eastAsia="仿宋_GB2312" w:cs="Times New Roman"/>
          <w:color w:val="auto"/>
          <w:kern w:val="2"/>
          <w:sz w:val="32"/>
          <w:szCs w:val="32"/>
          <w:highlight w:val="none"/>
          <w:u w:val="none"/>
          <w:lang w:val="en-US" w:eastAsia="zh-CN" w:bidi="ar"/>
        </w:rPr>
        <w:t>2025年度</w:t>
      </w:r>
      <w:r>
        <w:rPr>
          <w:rFonts w:hint="eastAsia" w:ascii="Times New Roman" w:hAnsi="Times New Roman" w:eastAsia="仿宋_GB2312" w:cs="Times New Roman"/>
          <w:color w:val="auto"/>
          <w:kern w:val="2"/>
          <w:sz w:val="32"/>
          <w:szCs w:val="32"/>
          <w:highlight w:val="none"/>
          <w:u w:val="none"/>
          <w:lang w:val="en-US" w:eastAsia="zh-CN" w:bidi="ar"/>
        </w:rPr>
        <w:t>）</w:t>
      </w:r>
    </w:p>
    <w:p>
      <w:pPr>
        <w:pageBreakBefore w:val="0"/>
        <w:widowControl w:val="0"/>
        <w:kinsoku/>
        <w:wordWrap/>
        <w:topLinePunct w:val="0"/>
        <w:autoSpaceDE/>
        <w:autoSpaceDN/>
        <w:bidi w:val="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Style w:val="2"/>
        <w:pageBreakBefore w:val="0"/>
        <w:widowControl w:val="0"/>
        <w:kinsoku/>
        <w:wordWrap/>
        <w:topLinePunct w:val="0"/>
        <w:autoSpaceDE/>
        <w:autoSpaceDN/>
        <w:bidi w:val="0"/>
        <w:spacing w:after="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ageBreakBefore w:val="0"/>
        <w:widowControl w:val="0"/>
        <w:kinsoku/>
        <w:wordWrap/>
        <w:topLinePunct w:val="0"/>
        <w:autoSpaceDE/>
        <w:autoSpaceDN/>
        <w:bidi w:val="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Style w:val="2"/>
        <w:pageBreakBefore w:val="0"/>
        <w:widowControl w:val="0"/>
        <w:kinsoku/>
        <w:wordWrap/>
        <w:topLinePunct w:val="0"/>
        <w:autoSpaceDE/>
        <w:autoSpaceDN/>
        <w:bidi w:val="0"/>
        <w:spacing w:after="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ageBreakBefore w:val="0"/>
        <w:widowControl w:val="0"/>
        <w:kinsoku/>
        <w:wordWrap/>
        <w:topLinePunct w:val="0"/>
        <w:autoSpaceDE/>
        <w:autoSpaceDN/>
        <w:bidi w:val="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Style w:val="2"/>
        <w:pageBreakBefore w:val="0"/>
        <w:widowControl w:val="0"/>
        <w:kinsoku/>
        <w:wordWrap/>
        <w:topLinePunct w:val="0"/>
        <w:autoSpaceDE/>
        <w:autoSpaceDN/>
        <w:bidi w:val="0"/>
        <w:spacing w:after="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ageBreakBefore w:val="0"/>
        <w:widowControl w:val="0"/>
        <w:kinsoku/>
        <w:wordWrap/>
        <w:topLinePunct w:val="0"/>
        <w:autoSpaceDE/>
        <w:autoSpaceDN/>
        <w:bidi w:val="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Style w:val="2"/>
        <w:pageBreakBefore w:val="0"/>
        <w:widowControl w:val="0"/>
        <w:kinsoku/>
        <w:wordWrap/>
        <w:topLinePunct w:val="0"/>
        <w:autoSpaceDE/>
        <w:autoSpaceDN/>
        <w:bidi w:val="0"/>
        <w:spacing w:after="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ageBreakBefore w:val="0"/>
        <w:widowControl w:val="0"/>
        <w:kinsoku/>
        <w:wordWrap/>
        <w:topLinePunct w:val="0"/>
        <w:autoSpaceDE/>
        <w:autoSpaceDN/>
        <w:bidi w:val="0"/>
        <w:ind w:left="0" w:leftChars="0"/>
        <w:rPr>
          <w:rFonts w:hint="eastAsia"/>
          <w:highlight w:val="none"/>
          <w:lang w:val="en-US" w:eastAsia="zh-CN"/>
        </w:rPr>
      </w:pPr>
    </w:p>
    <w:p>
      <w:pPr>
        <w:pStyle w:val="2"/>
        <w:pageBreakBefore w:val="0"/>
        <w:widowControl w:val="0"/>
        <w:kinsoku/>
        <w:wordWrap/>
        <w:topLinePunct w:val="0"/>
        <w:autoSpaceDE/>
        <w:autoSpaceDN/>
        <w:bidi w:val="0"/>
        <w:spacing w:after="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ageBreakBefore w:val="0"/>
        <w:widowControl w:val="0"/>
        <w:kinsoku/>
        <w:wordWrap/>
        <w:topLinePunct w:val="0"/>
        <w:autoSpaceDE/>
        <w:autoSpaceDN/>
        <w:bidi w:val="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Style w:val="2"/>
        <w:pageBreakBefore w:val="0"/>
        <w:widowControl w:val="0"/>
        <w:kinsoku/>
        <w:wordWrap/>
        <w:topLinePunct w:val="0"/>
        <w:autoSpaceDE/>
        <w:autoSpaceDN/>
        <w:bidi w:val="0"/>
        <w:spacing w:after="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ageBreakBefore w:val="0"/>
        <w:widowControl w:val="0"/>
        <w:kinsoku/>
        <w:wordWrap/>
        <w:topLinePunct w:val="0"/>
        <w:autoSpaceDE/>
        <w:autoSpaceDN/>
        <w:bidi w:val="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pStyle w:val="2"/>
        <w:pageBreakBefore w:val="0"/>
        <w:widowControl w:val="0"/>
        <w:kinsoku/>
        <w:wordWrap/>
        <w:topLinePunct w:val="0"/>
        <w:autoSpaceDE/>
        <w:autoSpaceDN/>
        <w:bidi w:val="0"/>
        <w:spacing w:after="0"/>
        <w:ind w:left="0" w:leftChars="0"/>
        <w:rPr>
          <w:rFonts w:hint="eastAsia" w:ascii="Times New Roman" w:hAnsi="Times New Roman" w:eastAsia="仿宋_GB2312" w:cs="Times New Roman"/>
          <w:color w:val="auto"/>
          <w:kern w:val="2"/>
          <w:sz w:val="32"/>
          <w:szCs w:val="32"/>
          <w:highlight w:val="none"/>
          <w:u w:val="none"/>
          <w:lang w:val="en-US" w:eastAsia="zh-CN" w:bidi="ar"/>
        </w:rPr>
      </w:pPr>
    </w:p>
    <w:p>
      <w:pPr>
        <w:pageBreakBefore w:val="0"/>
        <w:widowControl w:val="0"/>
        <w:kinsoku/>
        <w:wordWrap/>
        <w:topLinePunct w:val="0"/>
        <w:autoSpaceDE/>
        <w:autoSpaceDN/>
        <w:bidi w:val="0"/>
        <w:ind w:left="0" w:leftChars="0"/>
        <w:rPr>
          <w:rFonts w:hint="eastAsia"/>
          <w:highlight w:val="none"/>
          <w:lang w:val="zh-CN" w:eastAsia="zh-CN"/>
        </w:rPr>
      </w:pPr>
    </w:p>
    <w:tbl>
      <w:tblPr>
        <w:tblStyle w:val="19"/>
        <w:tblW w:w="10074"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65"/>
        <w:gridCol w:w="1021"/>
        <w:gridCol w:w="1121"/>
        <w:gridCol w:w="1169"/>
        <w:gridCol w:w="1017"/>
        <w:gridCol w:w="1149"/>
        <w:gridCol w:w="941"/>
        <w:gridCol w:w="824"/>
        <w:gridCol w:w="1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69" w:hRule="exact"/>
          <w:jc w:val="center"/>
        </w:trPr>
        <w:tc>
          <w:tcPr>
            <w:tcW w:w="10074" w:type="dxa"/>
            <w:gridSpan w:val="9"/>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jc w:val="center"/>
              <w:textAlignment w:val="center"/>
              <w:outlineLvl w:val="9"/>
              <w:rPr>
                <w:rFonts w:hint="default" w:ascii="Times New Roman" w:hAnsi="Times New Roman" w:eastAsia="黑体" w:cs="Times New Roman"/>
                <w:i w:val="0"/>
                <w:color w:val="000000"/>
                <w:sz w:val="28"/>
                <w:szCs w:val="28"/>
                <w:highlight w:val="none"/>
                <w:u w:val="none"/>
              </w:rPr>
            </w:pPr>
            <w:r>
              <w:rPr>
                <w:rFonts w:hint="default" w:ascii="Times New Roman" w:hAnsi="Times New Roman" w:eastAsia="方正小标宋简体" w:cs="Times New Roman"/>
                <w:i w:val="0"/>
                <w:color w:val="000000"/>
                <w:kern w:val="0"/>
                <w:sz w:val="44"/>
                <w:szCs w:val="44"/>
                <w:highlight w:val="none"/>
                <w:u w:val="none"/>
                <w:lang w:val="en-US" w:eastAsia="zh-CN" w:bidi="ar"/>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7" w:hRule="atLeast"/>
          <w:jc w:val="center"/>
        </w:trPr>
        <w:tc>
          <w:tcPr>
            <w:tcW w:w="10074" w:type="dxa"/>
            <w:gridSpan w:val="9"/>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default" w:ascii="Times New Roman" w:hAnsi="Times New Roman" w:eastAsia="宋体" w:cs="Times New Roman"/>
                <w:i w:val="0"/>
                <w:color w:val="000000"/>
                <w:sz w:val="28"/>
                <w:szCs w:val="28"/>
                <w:highlight w:val="none"/>
                <w:u w:val="none"/>
              </w:rPr>
            </w:pPr>
            <w:r>
              <w:rPr>
                <w:rFonts w:hint="default" w:ascii="Times New Roman" w:hAnsi="Times New Roman" w:eastAsia="宋体" w:cs="Times New Roman"/>
                <w:i w:val="0"/>
                <w:color w:val="000000"/>
                <w:kern w:val="0"/>
                <w:sz w:val="28"/>
                <w:szCs w:val="28"/>
                <w:highlight w:val="none"/>
                <w:u w:val="none"/>
                <w:lang w:val="en-US" w:eastAsia="zh-CN" w:bidi="ar"/>
              </w:rPr>
              <w:t>（202</w:t>
            </w:r>
            <w:r>
              <w:rPr>
                <w:rFonts w:hint="default" w:eastAsia="宋体" w:cs="Times New Roman"/>
                <w:i w:val="0"/>
                <w:color w:val="000000"/>
                <w:kern w:val="0"/>
                <w:sz w:val="28"/>
                <w:szCs w:val="28"/>
                <w:highlight w:val="none"/>
                <w:u w:val="none"/>
                <w:lang w:val="en-US" w:eastAsia="zh-CN" w:bidi="ar"/>
              </w:rPr>
              <w:t>5</w:t>
            </w:r>
            <w:r>
              <w:rPr>
                <w:rFonts w:hint="default" w:ascii="Times New Roman" w:hAnsi="Times New Roman" w:eastAsia="宋体" w:cs="Times New Roman"/>
                <w:i w:val="0"/>
                <w:color w:val="000000"/>
                <w:kern w:val="0"/>
                <w:sz w:val="28"/>
                <w:szCs w:val="28"/>
                <w:highlight w:val="none"/>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27" w:hRule="atLeast"/>
          <w:jc w:val="center"/>
        </w:trPr>
        <w:tc>
          <w:tcPr>
            <w:tcW w:w="10074" w:type="dxa"/>
            <w:gridSpan w:val="9"/>
            <w:tcBorders>
              <w:bottom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right"/>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7" w:hRule="atLeast"/>
          <w:jc w:val="center"/>
        </w:trPr>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部门名称</w:t>
            </w:r>
          </w:p>
        </w:tc>
        <w:tc>
          <w:tcPr>
            <w:tcW w:w="6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遂宁市妇女联合会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37" w:hRule="atLeast"/>
          <w:jc w:val="center"/>
        </w:trPr>
        <w:tc>
          <w:tcPr>
            <w:tcW w:w="1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年度部门整体支出预算</w:t>
            </w: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资金总额</w:t>
            </w:r>
          </w:p>
        </w:tc>
        <w:tc>
          <w:tcPr>
            <w:tcW w:w="2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财政拨款</w:t>
            </w:r>
          </w:p>
        </w:tc>
        <w:tc>
          <w:tcPr>
            <w:tcW w:w="45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37" w:hRule="atLeast"/>
          <w:jc w:val="center"/>
        </w:trPr>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lang w:val="en-US"/>
              </w:rPr>
            </w:pPr>
            <w:r>
              <w:rPr>
                <w:rFonts w:hint="eastAsia" w:ascii="仿宋_GB2312" w:hAnsi="仿宋_GB2312" w:eastAsia="仿宋_GB2312" w:cs="仿宋_GB2312"/>
                <w:i w:val="0"/>
                <w:color w:val="000000"/>
                <w:kern w:val="0"/>
                <w:sz w:val="21"/>
                <w:szCs w:val="21"/>
                <w:highlight w:val="none"/>
                <w:u w:val="none"/>
                <w:lang w:val="en-US" w:eastAsia="zh-CN" w:bidi="ar"/>
              </w:rPr>
              <w:t>642.2</w:t>
            </w:r>
          </w:p>
        </w:tc>
        <w:tc>
          <w:tcPr>
            <w:tcW w:w="2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lang w:val="en-US"/>
              </w:rPr>
            </w:pPr>
            <w:r>
              <w:rPr>
                <w:rFonts w:hint="eastAsia" w:ascii="仿宋_GB2312" w:hAnsi="仿宋_GB2312" w:eastAsia="仿宋_GB2312" w:cs="仿宋_GB2312"/>
                <w:i w:val="0"/>
                <w:color w:val="000000"/>
                <w:kern w:val="0"/>
                <w:sz w:val="21"/>
                <w:szCs w:val="21"/>
                <w:highlight w:val="none"/>
                <w:u w:val="none"/>
                <w:lang w:val="en-US" w:eastAsia="zh-CN" w:bidi="ar"/>
              </w:rPr>
              <w:t>642.2</w:t>
            </w:r>
          </w:p>
        </w:tc>
        <w:tc>
          <w:tcPr>
            <w:tcW w:w="45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lang w:val="en-US" w:eastAsia="zh-CN"/>
              </w:rPr>
            </w:pPr>
            <w:r>
              <w:rPr>
                <w:rFonts w:hint="eastAsia" w:ascii="仿宋_GB2312" w:hAnsi="仿宋_GB2312" w:eastAsia="仿宋_GB2312" w:cs="仿宋_GB2312"/>
                <w:i w:val="0"/>
                <w:color w:val="000000"/>
                <w:sz w:val="21"/>
                <w:szCs w:val="21"/>
                <w:highlight w:val="none"/>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345" w:hRule="atLeast"/>
          <w:jc w:val="center"/>
        </w:trPr>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r>
              <w:rPr>
                <w:rFonts w:hint="eastAsia" w:ascii="仿宋_GB2312" w:hAnsi="仿宋_GB2312" w:eastAsia="仿宋_GB2312" w:cs="仿宋_GB2312"/>
                <w:i w:val="0"/>
                <w:color w:val="000000"/>
                <w:kern w:val="0"/>
                <w:sz w:val="21"/>
                <w:szCs w:val="21"/>
                <w:highlight w:val="none"/>
                <w:u w:val="none"/>
                <w:lang w:val="en-US" w:eastAsia="zh-CN" w:bidi="ar"/>
              </w:rPr>
              <w:t>年度总体</w:t>
            </w:r>
          </w:p>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目标</w:t>
            </w:r>
          </w:p>
        </w:tc>
        <w:tc>
          <w:tcPr>
            <w:tcW w:w="89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sz w:val="21"/>
                <w:szCs w:val="21"/>
                <w:highlight w:val="none"/>
                <w:u w:val="none"/>
              </w:rPr>
              <w:t>坚定以习近平新时代中国特色社会主义思想为指导，深入学习宣传贯彻党的二十大和二十届三中全会、省委市委历次全会精神，全面落实习近平总书记关于妇女儿童和妇联工作重要论述精神，巩固拓展主题教育成果，扎实开展党纪学习教育，牢牢把握“引领、服务、联系”职能定位，团结引领全市广大妇女听党话跟党走，全市妇女事业发展实现新跨越，妇女儿童工作取得新成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7" w:hRule="atLeast"/>
          <w:jc w:val="center"/>
        </w:trPr>
        <w:tc>
          <w:tcPr>
            <w:tcW w:w="1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r>
              <w:rPr>
                <w:rFonts w:hint="eastAsia" w:ascii="仿宋_GB2312" w:hAnsi="仿宋_GB2312" w:eastAsia="仿宋_GB2312" w:cs="仿宋_GB2312"/>
                <w:i w:val="0"/>
                <w:color w:val="000000"/>
                <w:kern w:val="0"/>
                <w:sz w:val="21"/>
                <w:szCs w:val="21"/>
                <w:highlight w:val="none"/>
                <w:u w:val="none"/>
                <w:lang w:val="en-US" w:eastAsia="zh-CN" w:bidi="ar"/>
              </w:rPr>
              <w:t>年度主要</w:t>
            </w:r>
          </w:p>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任务</w:t>
            </w: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任务名称</w:t>
            </w:r>
          </w:p>
        </w:tc>
        <w:tc>
          <w:tcPr>
            <w:tcW w:w="6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3" w:hRule="atLeast"/>
          <w:jc w:val="center"/>
        </w:trPr>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妇女发展工作</w:t>
            </w:r>
          </w:p>
        </w:tc>
        <w:tc>
          <w:tcPr>
            <w:tcW w:w="6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ind w:left="0" w:leftChars="0"/>
              <w:jc w:val="left"/>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主要用于开展科技创新行动、乡村振兴巾帼行动、就业创业巾帼行动等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7" w:hRule="atLeast"/>
          <w:jc w:val="center"/>
        </w:trPr>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家庭家教家风建设</w:t>
            </w:r>
          </w:p>
        </w:tc>
        <w:tc>
          <w:tcPr>
            <w:tcW w:w="6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ind w:left="0" w:leftChars="0"/>
              <w:jc w:val="left"/>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主要用于开展家庭文化建设、家风家教宣传等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34" w:hRule="atLeast"/>
          <w:jc w:val="center"/>
        </w:trPr>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妇女儿童维权关爱</w:t>
            </w:r>
          </w:p>
        </w:tc>
        <w:tc>
          <w:tcPr>
            <w:tcW w:w="6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left"/>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主要用于开展妇女儿童合法权益宣传、婚姻家庭矛盾纠纷调解、儿童友好社区、爱心妈妈结对关爱留守困境儿童等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7" w:hRule="atLeast"/>
          <w:jc w:val="center"/>
        </w:trPr>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妇女组织建设</w:t>
            </w:r>
          </w:p>
        </w:tc>
        <w:tc>
          <w:tcPr>
            <w:tcW w:w="6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left"/>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主要用于开展妇联模范机关建设、基层组织建设、阵地覆盖、活动开展和妇联干部队伍建设等。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37" w:hRule="atLeast"/>
          <w:jc w:val="center"/>
        </w:trPr>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妇女思想引领</w:t>
            </w:r>
          </w:p>
        </w:tc>
        <w:tc>
          <w:tcPr>
            <w:tcW w:w="6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left"/>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主要用于开展三八节系列活动、党的路线方针政策宣传宣讲、媒体合作和宣传舆论阵地建设等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01" w:hRule="atLeast"/>
          <w:jc w:val="center"/>
        </w:trPr>
        <w:tc>
          <w:tcPr>
            <w:tcW w:w="116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r>
              <w:rPr>
                <w:rFonts w:hint="eastAsia" w:ascii="仿宋_GB2312" w:hAnsi="仿宋_GB2312" w:eastAsia="仿宋_GB2312" w:cs="仿宋_GB2312"/>
                <w:i w:val="0"/>
                <w:color w:val="000000"/>
                <w:kern w:val="0"/>
                <w:sz w:val="21"/>
                <w:szCs w:val="21"/>
                <w:highlight w:val="none"/>
                <w:u w:val="none"/>
                <w:lang w:val="en-US" w:eastAsia="zh-CN" w:bidi="ar"/>
              </w:rPr>
              <w:t>年度绩效</w:t>
            </w:r>
          </w:p>
          <w:p>
            <w:pPr>
              <w:keepNext w:val="0"/>
              <w:keepLines w:val="0"/>
              <w:pageBreakBefore w:val="0"/>
              <w:widowControl w:val="0"/>
              <w:suppressLineNumbers w:val="0"/>
              <w:kinsoku/>
              <w:wordWrap/>
              <w:overflowPunct/>
              <w:topLinePunct w:val="0"/>
              <w:autoSpaceDE/>
              <w:autoSpaceDN/>
              <w:bidi w:val="0"/>
              <w:adjustRightInd/>
              <w:snapToGrid/>
              <w:spacing w:line="30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指标</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一级指标</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二级指标</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三级指标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r>
              <w:rPr>
                <w:rFonts w:hint="eastAsia" w:ascii="仿宋_GB2312" w:hAnsi="仿宋_GB2312" w:eastAsia="仿宋_GB2312" w:cs="仿宋_GB2312"/>
                <w:i w:val="0"/>
                <w:color w:val="000000"/>
                <w:kern w:val="0"/>
                <w:sz w:val="21"/>
                <w:szCs w:val="21"/>
                <w:highlight w:val="none"/>
                <w:u w:val="none"/>
                <w:lang w:val="en-US" w:eastAsia="zh-CN" w:bidi="ar"/>
              </w:rPr>
              <w:t>绩效指标</w:t>
            </w:r>
          </w:p>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性质</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绩效指标值</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绩效度量单位</w:t>
            </w:r>
          </w:p>
        </w:tc>
        <w:tc>
          <w:tcPr>
            <w:tcW w:w="824"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权重</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r>
              <w:rPr>
                <w:rFonts w:hint="eastAsia" w:ascii="仿宋_GB2312" w:hAnsi="仿宋_GB2312" w:eastAsia="仿宋_GB2312" w:cs="仿宋_GB2312"/>
                <w:i w:val="0"/>
                <w:color w:val="000000"/>
                <w:kern w:val="0"/>
                <w:sz w:val="21"/>
                <w:szCs w:val="21"/>
                <w:highlight w:val="none"/>
                <w:u w:val="none"/>
                <w:lang w:val="en-US" w:eastAsia="zh-CN" w:bidi="ar"/>
              </w:rPr>
              <w:t>实际完成</w:t>
            </w:r>
          </w:p>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jc w:val="center"/>
        </w:trPr>
        <w:tc>
          <w:tcPr>
            <w:tcW w:w="116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产出指标</w:t>
            </w:r>
          </w:p>
        </w:tc>
        <w:tc>
          <w:tcPr>
            <w:tcW w:w="112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数量指标</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开展三八节系列活动</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场次</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lang w:val="en-US"/>
              </w:rPr>
            </w:pPr>
            <w:r>
              <w:rPr>
                <w:rFonts w:hint="eastAsia" w:ascii="仿宋_GB2312" w:hAnsi="仿宋_GB2312" w:eastAsia="仿宋_GB2312" w:cs="仿宋_GB2312"/>
                <w:i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2" w:hRule="atLeast"/>
          <w:jc w:val="center"/>
        </w:trPr>
        <w:tc>
          <w:tcPr>
            <w:tcW w:w="116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12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开展线上线下家庭教育指导活动</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100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场次</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color w:val="000000"/>
                <w:sz w:val="21"/>
                <w:szCs w:val="21"/>
                <w:highlight w:val="none"/>
                <w:u w:val="none"/>
                <w:lang w:val="en-US" w:eastAsia="zh-CN"/>
              </w:rPr>
            </w:pPr>
            <w:r>
              <w:rPr>
                <w:rFonts w:hint="eastAsia" w:ascii="仿宋_GB2312" w:hAnsi="仿宋_GB2312" w:eastAsia="仿宋_GB2312" w:cs="仿宋_GB2312"/>
                <w:i w:val="0"/>
                <w:color w:val="000000"/>
                <w:sz w:val="21"/>
                <w:szCs w:val="21"/>
                <w:highlight w:val="none"/>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jc w:val="center"/>
        </w:trPr>
        <w:tc>
          <w:tcPr>
            <w:tcW w:w="116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12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开展新型婚育文化高校巡讲活动</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3</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场次</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jc w:val="center"/>
        </w:trPr>
        <w:tc>
          <w:tcPr>
            <w:tcW w:w="116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12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与媒体合作数</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2</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个</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jc w:val="center"/>
        </w:trPr>
        <w:tc>
          <w:tcPr>
            <w:tcW w:w="116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12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合作律所</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个</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jc w:val="center"/>
        </w:trPr>
        <w:tc>
          <w:tcPr>
            <w:tcW w:w="116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12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开展妇女维权周三播报</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40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期</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jc w:val="center"/>
              <w:outlineLvl w:val="9"/>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90" w:hRule="atLeast"/>
          <w:jc w:val="center"/>
        </w:trPr>
        <w:tc>
          <w:tcPr>
            <w:tcW w:w="116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r>
              <w:rPr>
                <w:rFonts w:hint="eastAsia" w:ascii="仿宋_GB2312" w:hAnsi="仿宋_GB2312" w:eastAsia="仿宋_GB2312" w:cs="仿宋_GB2312"/>
                <w:i w:val="0"/>
                <w:color w:val="000000"/>
                <w:kern w:val="0"/>
                <w:sz w:val="21"/>
                <w:szCs w:val="21"/>
                <w:highlight w:val="none"/>
                <w:u w:val="none"/>
                <w:lang w:val="en-US" w:eastAsia="zh-CN" w:bidi="ar"/>
              </w:rPr>
              <w:t>满意度</w:t>
            </w:r>
          </w:p>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color w:val="000000"/>
                <w:kern w:val="0"/>
                <w:sz w:val="21"/>
                <w:szCs w:val="21"/>
                <w:highlight w:val="none"/>
                <w:u w:val="none"/>
                <w:lang w:val="en-US" w:eastAsia="zh-CN" w:bidi="ar"/>
              </w:rPr>
              <w:t>指标</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服务对象满意度指标</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全市妇女儿童群众满意度</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85</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66" w:hRule="atLeast"/>
          <w:jc w:val="center"/>
        </w:trPr>
        <w:tc>
          <w:tcPr>
            <w:tcW w:w="116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效益指标</w:t>
            </w:r>
          </w:p>
        </w:tc>
        <w:tc>
          <w:tcPr>
            <w:tcW w:w="112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社会效益指标</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依法维护妇女儿童合法权益</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定性</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优</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topLinePunct w:val="0"/>
              <w:autoSpaceDE/>
              <w:autoSpaceDN/>
              <w:bidi w:val="0"/>
              <w:spacing w:line="240" w:lineRule="exact"/>
              <w:ind w:left="0" w:leftChars="0"/>
              <w:jc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0" w:hRule="atLeast"/>
          <w:jc w:val="center"/>
        </w:trPr>
        <w:tc>
          <w:tcPr>
            <w:tcW w:w="1165"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outlineLvl w:val="9"/>
              <w:rPr>
                <w:rFonts w:hint="eastAsia" w:ascii="仿宋_GB2312" w:hAnsi="仿宋_GB2312" w:eastAsia="仿宋_GB2312" w:cs="仿宋_GB2312"/>
                <w:i w:val="0"/>
                <w:color w:val="000000"/>
                <w:sz w:val="21"/>
                <w:szCs w:val="21"/>
                <w:highlight w:val="none"/>
                <w:u w:val="none"/>
              </w:rPr>
            </w:pPr>
          </w:p>
        </w:tc>
        <w:tc>
          <w:tcPr>
            <w:tcW w:w="102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p>
        </w:tc>
        <w:tc>
          <w:tcPr>
            <w:tcW w:w="112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exact"/>
              <w:ind w:left="0" w:leftChars="0"/>
              <w:jc w:val="center"/>
              <w:textAlignment w:val="center"/>
              <w:outlineLvl w:val="9"/>
              <w:rPr>
                <w:rFonts w:hint="eastAsia" w:ascii="仿宋_GB2312" w:hAnsi="仿宋_GB2312" w:eastAsia="仿宋_GB2312" w:cs="仿宋_GB2312"/>
                <w:i w:val="0"/>
                <w:color w:val="000000"/>
                <w:kern w:val="0"/>
                <w:sz w:val="21"/>
                <w:szCs w:val="21"/>
                <w:highlight w:val="none"/>
                <w:u w:val="none"/>
                <w:lang w:val="en-US" w:eastAsia="zh-CN" w:bidi="ar"/>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color w:val="000000"/>
                <w:sz w:val="21"/>
                <w:szCs w:val="21"/>
                <w:highlight w:val="none"/>
                <w:u w:val="no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引领妇女听党话更党走</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定性</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优</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topLinePunct w:val="0"/>
              <w:autoSpaceDE/>
              <w:autoSpaceDN/>
              <w:bidi w:val="0"/>
              <w:spacing w:line="240" w:lineRule="exact"/>
              <w:ind w:left="0" w:leftChars="0"/>
              <w:jc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10</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topLinePunct w:val="0"/>
              <w:autoSpaceDE/>
              <w:autoSpaceDN/>
              <w:bidi w:val="0"/>
              <w:spacing w:line="24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优</w:t>
            </w:r>
          </w:p>
        </w:tc>
      </w:tr>
    </w:tbl>
    <w:p>
      <w:pPr>
        <w:keepNext w:val="0"/>
        <w:keepLines w:val="0"/>
        <w:pageBreakBefore w:val="0"/>
        <w:widowControl w:val="0"/>
        <w:kinsoku/>
        <w:wordWrap/>
        <w:overflowPunct/>
        <w:topLinePunct w:val="0"/>
        <w:autoSpaceDE/>
        <w:autoSpaceDN/>
        <w:bidi w:val="0"/>
        <w:spacing w:line="578" w:lineRule="exact"/>
        <w:ind w:left="0" w:leftChars="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left="0" w:leftChars="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bookmarkStart w:id="54" w:name="_Toc15396618"/>
    </w:p>
    <w:p>
      <w:pPr>
        <w:pageBreakBefore w:val="0"/>
        <w:widowControl w:val="0"/>
        <w:kinsoku/>
        <w:wordWrap/>
        <w:topLinePunct w:val="0"/>
        <w:autoSpaceDE/>
        <w:autoSpaceDN/>
        <w:bidi w:val="0"/>
        <w:ind w:left="0" w:leftChars="0"/>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五部分 附表</w:t>
      </w:r>
      <w:bookmarkEnd w:id="51"/>
      <w:bookmarkEnd w:id="54"/>
      <w:bookmarkStart w:id="55" w:name="_Toc15396619"/>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pPr>
        <w:pageBreakBefore w:val="0"/>
        <w:widowControl w:val="0"/>
        <w:kinsoku/>
        <w:wordWrap/>
        <w:topLinePunct w:val="0"/>
        <w:autoSpaceDE/>
        <w:autoSpaceDN/>
        <w:bidi w:val="0"/>
        <w:ind w:left="0" w:leftChars="0"/>
        <w:rPr>
          <w:rFonts w:hint="eastAsia" w:ascii="Times New Roman" w:hAnsi="Times New Roman"/>
          <w:color w:val="auto"/>
          <w:highlight w:val="none"/>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333"/>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297E52"/>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A367B2"/>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7A265FC"/>
    <w:rsid w:val="281408E2"/>
    <w:rsid w:val="29FD04D3"/>
    <w:rsid w:val="2BFF7BC6"/>
    <w:rsid w:val="2C8A61B5"/>
    <w:rsid w:val="2D2E01CF"/>
    <w:rsid w:val="2DF04E50"/>
    <w:rsid w:val="2E9545B0"/>
    <w:rsid w:val="2F040D46"/>
    <w:rsid w:val="2FAE5751"/>
    <w:rsid w:val="2FB1A395"/>
    <w:rsid w:val="2FD9A7D8"/>
    <w:rsid w:val="319F7F4E"/>
    <w:rsid w:val="31F938FB"/>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3E0C8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D539CB"/>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946E67"/>
    <w:rsid w:val="5AF92295"/>
    <w:rsid w:val="5BDD79E6"/>
    <w:rsid w:val="5BF561CA"/>
    <w:rsid w:val="5BFF5DFC"/>
    <w:rsid w:val="5CD71FC4"/>
    <w:rsid w:val="5D1F11B5"/>
    <w:rsid w:val="5DAE1B18"/>
    <w:rsid w:val="5DE7D9E5"/>
    <w:rsid w:val="5ECEC941"/>
    <w:rsid w:val="5F493CB7"/>
    <w:rsid w:val="5FB3D6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0E242D"/>
    <w:rsid w:val="6BCE6674"/>
    <w:rsid w:val="6C4A05C8"/>
    <w:rsid w:val="6C8742B8"/>
    <w:rsid w:val="6C8A170F"/>
    <w:rsid w:val="6CB54609"/>
    <w:rsid w:val="6DBF5E93"/>
    <w:rsid w:val="6DFF077E"/>
    <w:rsid w:val="6E1B5D18"/>
    <w:rsid w:val="6E7E3605"/>
    <w:rsid w:val="6E7FDCC7"/>
    <w:rsid w:val="6ED6A62E"/>
    <w:rsid w:val="6EE00B15"/>
    <w:rsid w:val="6F0E6D4D"/>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983BE8"/>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2">
    <w:name w:val="Salutation"/>
    <w:basedOn w:val="1"/>
    <w:next w:val="1"/>
    <w:qFormat/>
    <w:uiPriority w:val="0"/>
    <w:pPr>
      <w:widowControl w:val="0"/>
      <w:spacing w:after="0"/>
      <w:jc w:val="both"/>
    </w:pPr>
    <w:rPr>
      <w:rFonts w:ascii="Times New Roman" w:hAnsi="Times New Roman" w:eastAsia="宋体" w:cs="Calibri"/>
      <w:kern w:val="2"/>
      <w:sz w:val="21"/>
      <w:szCs w:val="21"/>
      <w:lang w:val="en-US" w:eastAsia="zh-CN" w:bidi="ar-SA"/>
    </w:rPr>
  </w:style>
  <w:style w:type="paragraph" w:styleId="6">
    <w:name w:val="Body Text"/>
    <w:basedOn w:val="1"/>
    <w:next w:val="7"/>
    <w:link w:val="29"/>
    <w:qFormat/>
    <w:uiPriority w:val="99"/>
    <w:pPr>
      <w:spacing w:beforeLines="30"/>
    </w:pPr>
    <w:rPr>
      <w:rFonts w:ascii="仿宋_GB2312" w:eastAsia="仿宋_GB2312"/>
      <w:kern w:val="0"/>
      <w:sz w:val="30"/>
    </w:rPr>
  </w:style>
  <w:style w:type="paragraph" w:styleId="7">
    <w:name w:val="List"/>
    <w:basedOn w:val="6"/>
    <w:qFormat/>
    <w:uiPriority w:val="0"/>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5"/>
    <w:semiHidden/>
    <w:unhideWhenUsed/>
    <w:qFormat/>
    <w:uiPriority w:val="99"/>
    <w:rPr>
      <w:sz w:val="18"/>
      <w:szCs w:val="18"/>
    </w:rPr>
  </w:style>
  <w:style w:type="paragraph" w:styleId="12">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able of figures"/>
    <w:basedOn w:val="1"/>
    <w:next w:val="1"/>
    <w:qFormat/>
    <w:uiPriority w:val="0"/>
    <w:pPr>
      <w:ind w:left="4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Char"/>
    <w:link w:val="13"/>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Char"/>
    <w:link w:val="12"/>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Char"/>
    <w:link w:val="6"/>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0"/>
    <w:link w:val="3"/>
    <w:qFormat/>
    <w:uiPriority w:val="9"/>
    <w:rPr>
      <w:rFonts w:ascii="Times New Roman" w:hAnsi="Times New Roman"/>
      <w:b/>
      <w:bCs/>
      <w:kern w:val="44"/>
      <w:sz w:val="44"/>
      <w:szCs w:val="44"/>
    </w:rPr>
  </w:style>
  <w:style w:type="character" w:customStyle="1" w:styleId="33">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0"/>
    <w:link w:val="11"/>
    <w:semiHidden/>
    <w:qFormat/>
    <w:uiPriority w:val="99"/>
    <w:rPr>
      <w:rFonts w:ascii="Times New Roman" w:hAnsi="Times New Roman"/>
      <w:kern w:val="2"/>
      <w:sz w:val="18"/>
      <w:szCs w:val="18"/>
    </w:rPr>
  </w:style>
  <w:style w:type="character" w:customStyle="1" w:styleId="36">
    <w:name w:val="标题 3 Char"/>
    <w:basedOn w:val="20"/>
    <w:link w:val="5"/>
    <w:qFormat/>
    <w:uiPriority w:val="9"/>
    <w:rPr>
      <w:rFonts w:ascii="Times New Roman" w:hAnsi="Times New Roman"/>
      <w:b/>
      <w:bCs/>
      <w:kern w:val="2"/>
      <w:sz w:val="32"/>
      <w:szCs w:val="32"/>
    </w:rPr>
  </w:style>
  <w:style w:type="paragraph" w:customStyle="1" w:styleId="37">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Info spid="_x0000_s1028"/>
    <customShpInfo spid="_x0000_s1029" textRotate="1"/>
    <customShpInfo spid="_x0000_s1030" textRotate="1"/>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9884</Words>
  <Characters>10504</Characters>
  <Lines>61</Lines>
  <Paragraphs>17</Paragraphs>
  <TotalTime>1</TotalTime>
  <ScaleCrop>false</ScaleCrop>
  <LinksUpToDate>false</LinksUpToDate>
  <CharactersWithSpaces>10540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对方正在输入……</cp:lastModifiedBy>
  <cp:lastPrinted>2026-08-03T17:27:00Z</cp:lastPrinted>
  <dcterms:modified xsi:type="dcterms:W3CDTF">2026-09-16T08:10:12Z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AE0B9871AD1C4E8F91EAA1A1B88D58D2_13</vt:lpwstr>
  </property>
  <property fmtid="{D5CDD505-2E9C-101B-9397-08002B2CF9AE}" pid="4" name="KSOTemplateDocerSaveRecord">
    <vt:lpwstr>eyJoZGlkIjoiYzYxZjE5YTY2YjZlYjc1YzU0Mzc0M2U1NjM2NGE5MTMiLCJ1c2VySWQiOiIyNDQwOTMwNDEifQ==</vt:lpwstr>
  </property>
</Properties>
</file>